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D4ECE" w14:textId="70B63CB3" w:rsidR="006B1AE2" w:rsidRPr="00AE1CCC" w:rsidRDefault="00AE1CCC" w:rsidP="00AE1CCC">
      <w:pPr>
        <w:widowControl w:val="0"/>
        <w:tabs>
          <w:tab w:val="right" w:pos="9639"/>
        </w:tabs>
        <w:spacing w:after="0" w:line="240" w:lineRule="auto"/>
        <w:jc w:val="right"/>
        <w:rPr>
          <w:rFonts w:asciiTheme="majorBidi" w:hAnsiTheme="majorBidi" w:cstheme="majorBidi"/>
        </w:rPr>
      </w:pPr>
      <w:r w:rsidRPr="00AE1CCC">
        <w:rPr>
          <w:rFonts w:asciiTheme="majorBidi" w:hAnsiTheme="majorBidi" w:cstheme="majorBidi"/>
        </w:rPr>
        <w:t>Specialiųjų pirkimo sąlygų 2 priedas</w:t>
      </w:r>
    </w:p>
    <w:p w14:paraId="6936A426" w14:textId="77777777" w:rsidR="00AE1CCC" w:rsidRPr="00AE1CCC" w:rsidRDefault="00AE1CCC" w:rsidP="00AE1CCC">
      <w:pPr>
        <w:widowControl w:val="0"/>
        <w:tabs>
          <w:tab w:val="right" w:pos="9639"/>
        </w:tabs>
        <w:spacing w:after="0" w:line="240" w:lineRule="auto"/>
        <w:jc w:val="right"/>
        <w:rPr>
          <w:rFonts w:asciiTheme="majorBidi" w:hAnsiTheme="majorBidi" w:cstheme="majorBidi"/>
        </w:rPr>
      </w:pPr>
    </w:p>
    <w:p w14:paraId="2064E458" w14:textId="50E25248" w:rsidR="006B1AE2" w:rsidRPr="003E07A5" w:rsidRDefault="006B1AE2" w:rsidP="006B1AE2">
      <w:pPr>
        <w:tabs>
          <w:tab w:val="left" w:pos="851"/>
          <w:tab w:val="left" w:pos="993"/>
        </w:tabs>
        <w:overflowPunct w:val="0"/>
        <w:spacing w:line="240" w:lineRule="auto"/>
        <w:jc w:val="center"/>
        <w:textAlignment w:val="baseline"/>
        <w:rPr>
          <w:b/>
          <w:bCs/>
        </w:rPr>
      </w:pPr>
      <w:bookmarkStart w:id="0" w:name="_Toc314174599"/>
      <w:r w:rsidRPr="65082700">
        <w:rPr>
          <w:b/>
          <w:bCs/>
        </w:rPr>
        <w:t>ANALITINĖS STUDIJOS „EUROPINĖS SKAITMENINĖS TAPATYBĖS DĖKLĖS ĮGYVENDINIMO GALIMYBIŲ ANALIZĖ IR PLANAS“ PARENGIMO PASLAUGŲ</w:t>
      </w:r>
    </w:p>
    <w:p w14:paraId="53AE177B" w14:textId="157B81DB" w:rsidR="006B1AE2" w:rsidRPr="003E07A5" w:rsidRDefault="006B1AE2" w:rsidP="005C5FFB">
      <w:pPr>
        <w:tabs>
          <w:tab w:val="left" w:pos="851"/>
          <w:tab w:val="left" w:pos="993"/>
        </w:tabs>
        <w:overflowPunct w:val="0"/>
        <w:spacing w:line="240" w:lineRule="auto"/>
        <w:jc w:val="center"/>
        <w:textAlignment w:val="baseline"/>
        <w:rPr>
          <w:b/>
          <w:bCs/>
        </w:rPr>
      </w:pPr>
      <w:r w:rsidRPr="003E07A5">
        <w:rPr>
          <w:b/>
          <w:bCs/>
        </w:rPr>
        <w:t>TECHNINĖ SPECIFIKACIJA</w:t>
      </w:r>
    </w:p>
    <w:bookmarkEnd w:id="0"/>
    <w:p w14:paraId="58C7AA6A" w14:textId="48B2C2B0" w:rsidR="006B1AE2" w:rsidRPr="00F77844" w:rsidRDefault="006B1AE2" w:rsidP="006B1AE2">
      <w:pPr>
        <w:pStyle w:val="ListParagraph"/>
        <w:numPr>
          <w:ilvl w:val="0"/>
          <w:numId w:val="8"/>
        </w:numPr>
        <w:rPr>
          <w:b/>
          <w:bCs/>
        </w:rPr>
      </w:pPr>
      <w:r w:rsidRPr="00F77844">
        <w:rPr>
          <w:b/>
          <w:bCs/>
        </w:rPr>
        <w:t>BENDRA INFORMACIJA IR SIEKIAMOS SITUACIJOS APRAŠYMAS</w:t>
      </w:r>
    </w:p>
    <w:p w14:paraId="7EE19173" w14:textId="77777777" w:rsidR="006B1AE2" w:rsidRPr="006B1AE2" w:rsidRDefault="006B1AE2" w:rsidP="006B1AE2"/>
    <w:p w14:paraId="2E95ED07" w14:textId="4EF3250A" w:rsidR="006B1AE2" w:rsidRPr="006B1AE2" w:rsidRDefault="006B1AE2" w:rsidP="005C5FFB">
      <w:pPr>
        <w:pStyle w:val="ListParagraph"/>
        <w:numPr>
          <w:ilvl w:val="1"/>
          <w:numId w:val="10"/>
        </w:numPr>
        <w:jc w:val="both"/>
      </w:pPr>
      <w:r w:rsidRPr="006B1AE2">
        <w:t xml:space="preserve">2024 m. gegužės 20 d. įsigaliojo Europos Parlamento ir Tarybos reglamentas (ES) 2024/1183, iš dalies keičiantis 2014 m. liepos 23 d. patvirtintą </w:t>
      </w:r>
      <w:proofErr w:type="spellStart"/>
      <w:r w:rsidRPr="006B1AE2">
        <w:t>eIDAS</w:t>
      </w:r>
      <w:proofErr w:type="spellEnd"/>
      <w:r w:rsidRPr="006B1AE2">
        <w:t xml:space="preserve"> reglamentą (Nr. 910/2014) dėl elektroninės atpažinties ir patikimumo užtikrinimo paslaugų. Šiuo reglamentu siekiama sustiprinti tarpvalstybinį sąveikumą, užtikrinti skaitmeninės infrastruktūros saugumą bei sukurti pažangią ir suderintą skaitmeninės tapatybės ekosistemą visoje Europos Sąjungoje (toliau – </w:t>
      </w:r>
      <w:proofErr w:type="spellStart"/>
      <w:r w:rsidRPr="006B1AE2">
        <w:t>eIDAS</w:t>
      </w:r>
      <w:proofErr w:type="spellEnd"/>
      <w:r w:rsidRPr="006B1AE2">
        <w:t xml:space="preserve"> 2.0 reglamentas). </w:t>
      </w:r>
    </w:p>
    <w:p w14:paraId="48B2EFF2" w14:textId="77777777" w:rsidR="006B1AE2" w:rsidRPr="006B1AE2" w:rsidRDefault="006B1AE2" w:rsidP="005C5FFB">
      <w:pPr>
        <w:pStyle w:val="ListParagraph"/>
        <w:numPr>
          <w:ilvl w:val="1"/>
          <w:numId w:val="10"/>
        </w:numPr>
        <w:jc w:val="both"/>
      </w:pPr>
      <w:proofErr w:type="spellStart"/>
      <w:r w:rsidRPr="006B1AE2">
        <w:t>eIDAS</w:t>
      </w:r>
      <w:proofErr w:type="spellEnd"/>
      <w:r w:rsidRPr="006B1AE2">
        <w:t xml:space="preserve"> 2.0 nustatomi reikšmingi pokyčiai, siekiant sustiprinti skaitmeninės infrastruktūros saugumą, užtikrinti tarpvalstybinį sąveikumą ir išplėsti kvalifikuotų patikimumo užtikrinimo paslaugų (pvz., elektroninio pasirašymo, požymių liudijimų, elektroninių registrų) spektrą bei jų prieinamumą. </w:t>
      </w:r>
    </w:p>
    <w:p w14:paraId="13ABFEEB" w14:textId="77777777" w:rsidR="006B1AE2" w:rsidRPr="006B1AE2" w:rsidRDefault="006B1AE2" w:rsidP="005C5FFB">
      <w:pPr>
        <w:pStyle w:val="ListParagraph"/>
        <w:numPr>
          <w:ilvl w:val="1"/>
          <w:numId w:val="10"/>
        </w:numPr>
        <w:jc w:val="both"/>
      </w:pPr>
      <w:r w:rsidRPr="006B1AE2">
        <w:t xml:space="preserve">Pagrindinė </w:t>
      </w:r>
      <w:proofErr w:type="spellStart"/>
      <w:r w:rsidRPr="006B1AE2">
        <w:t>eIDAS</w:t>
      </w:r>
      <w:proofErr w:type="spellEnd"/>
      <w:r w:rsidRPr="006B1AE2">
        <w:t xml:space="preserve"> 2.0 įgyvendinimo priemonė – Europinė skaitmeninės tapatybės dėklė (</w:t>
      </w:r>
      <w:proofErr w:type="spellStart"/>
      <w:r w:rsidRPr="006B1AE2">
        <w:t>European</w:t>
      </w:r>
      <w:proofErr w:type="spellEnd"/>
      <w:r w:rsidRPr="006B1AE2">
        <w:t xml:space="preserve"> Digital </w:t>
      </w:r>
      <w:proofErr w:type="spellStart"/>
      <w:r w:rsidRPr="006B1AE2">
        <w:t>Identity</w:t>
      </w:r>
      <w:proofErr w:type="spellEnd"/>
      <w:r w:rsidRPr="006B1AE2">
        <w:t xml:space="preserve"> </w:t>
      </w:r>
      <w:proofErr w:type="spellStart"/>
      <w:r w:rsidRPr="006B1AE2">
        <w:t>Wallet</w:t>
      </w:r>
      <w:proofErr w:type="spellEnd"/>
      <w:r w:rsidRPr="006B1AE2">
        <w:t xml:space="preserve">) (toliau – dėklė, EUDIW). Ji suteiks fiziniams ir juridiniams asmenims galimybę naudotis suderintomis ir patikimomis elektroninės atpažinties priemonėmis visoje Europos Sąjungoje (toliau – ES). Dėklė leis patvirtinti naudotojo tapatybės duomenų autentiškumą, dalytis tik būtinais atributais pagal pasirinktinio atskleidimo (angl. </w:t>
      </w:r>
      <w:proofErr w:type="spellStart"/>
      <w:r w:rsidRPr="006B1AE2">
        <w:t>Selective</w:t>
      </w:r>
      <w:proofErr w:type="spellEnd"/>
      <w:r w:rsidRPr="006B1AE2">
        <w:t xml:space="preserve"> </w:t>
      </w:r>
      <w:proofErr w:type="spellStart"/>
      <w:r w:rsidRPr="006B1AE2">
        <w:t>Disclosure</w:t>
      </w:r>
      <w:proofErr w:type="spellEnd"/>
      <w:r w:rsidRPr="006B1AE2">
        <w:t>) principą, naudoti patikimus tapatybės atributus tiek tarpvalstybinėse, tiek nacionalinėse situacijose. </w:t>
      </w:r>
    </w:p>
    <w:p w14:paraId="485F3558" w14:textId="77777777" w:rsidR="006B1AE2" w:rsidRPr="006B1AE2" w:rsidRDefault="006B1AE2" w:rsidP="005C5FFB">
      <w:pPr>
        <w:pStyle w:val="ListParagraph"/>
        <w:numPr>
          <w:ilvl w:val="1"/>
          <w:numId w:val="10"/>
        </w:numPr>
        <w:jc w:val="both"/>
      </w:pPr>
      <w:r w:rsidRPr="006B1AE2">
        <w:t>Techninis šios vizijos įgyvendinimas gali būti įvairių formų (pvz., mobiliosios programėlės, naršyklės sprendimai), tačiau būtina sukurti visapusišką ekosistemą ir infrastruktūrą, apimančią: </w:t>
      </w:r>
    </w:p>
    <w:p w14:paraId="078E3EC0" w14:textId="77777777" w:rsidR="006B1AE2" w:rsidRPr="006B1AE2" w:rsidRDefault="006B1AE2" w:rsidP="005C5FFB">
      <w:pPr>
        <w:pStyle w:val="ListParagraph"/>
        <w:numPr>
          <w:ilvl w:val="1"/>
          <w:numId w:val="10"/>
        </w:numPr>
        <w:jc w:val="both"/>
      </w:pPr>
      <w:r w:rsidRPr="006B1AE2">
        <w:t xml:space="preserve">Kriptografinius sprendimus, tokius kaip pažangūs šifravimo algoritmai, viešojo rakto infrastruktūra (PKI), nulinių žinių įrodymų (angl. </w:t>
      </w:r>
      <w:proofErr w:type="spellStart"/>
      <w:r w:rsidRPr="006B1AE2">
        <w:t>Zero-Knowledge</w:t>
      </w:r>
      <w:proofErr w:type="spellEnd"/>
      <w:r w:rsidRPr="006B1AE2">
        <w:t xml:space="preserve"> </w:t>
      </w:r>
      <w:proofErr w:type="spellStart"/>
      <w:r w:rsidRPr="006B1AE2">
        <w:t>Proof</w:t>
      </w:r>
      <w:proofErr w:type="spellEnd"/>
      <w:r w:rsidRPr="006B1AE2">
        <w:t>) technologijos, užtikrinančias saugų ir privatumą išlaikantį duomenų valdymą. </w:t>
      </w:r>
    </w:p>
    <w:p w14:paraId="7709EDB1" w14:textId="77777777" w:rsidR="006B1AE2" w:rsidRPr="006B1AE2" w:rsidRDefault="006B1AE2" w:rsidP="005C5FFB">
      <w:pPr>
        <w:pStyle w:val="ListParagraph"/>
        <w:numPr>
          <w:ilvl w:val="1"/>
          <w:numId w:val="10"/>
        </w:numPr>
        <w:jc w:val="both"/>
      </w:pPr>
      <w:r w:rsidRPr="006B1AE2">
        <w:t>Patikimumo užtikrinimo paslaugų teikėjus (TSP), kurie teiks elektroninių parašų, požymių liudijimų ir kitas susijusias paslaugas. </w:t>
      </w:r>
    </w:p>
    <w:p w14:paraId="52F08401" w14:textId="77777777" w:rsidR="006B1AE2" w:rsidRPr="006B1AE2" w:rsidRDefault="006B1AE2" w:rsidP="005C5FFB">
      <w:pPr>
        <w:pStyle w:val="ListParagraph"/>
        <w:numPr>
          <w:ilvl w:val="1"/>
          <w:numId w:val="10"/>
        </w:numPr>
        <w:jc w:val="both"/>
      </w:pPr>
      <w:r w:rsidRPr="006B1AE2">
        <w:t>Asmens identifikacijos atributų teikėjus (PID teikėjus), atsakingus už tapatybės duomenų patvirtinimą ir perdavimą dėklei. </w:t>
      </w:r>
    </w:p>
    <w:p w14:paraId="7004F8FF" w14:textId="77777777" w:rsidR="006B1AE2" w:rsidRPr="006B1AE2" w:rsidRDefault="006B1AE2" w:rsidP="005C5FFB">
      <w:pPr>
        <w:pStyle w:val="ListParagraph"/>
        <w:numPr>
          <w:ilvl w:val="1"/>
          <w:numId w:val="10"/>
        </w:numPr>
        <w:jc w:val="both"/>
      </w:pPr>
      <w:r w:rsidRPr="006B1AE2">
        <w:t>Paslaugų gavėjų tinklą, suteikiantį galimybę naudotojams pasinaudoti dėklės pateiktais duomenimis tarpvalstybinėse viešojo ir privataus sektoriaus paslaugose. </w:t>
      </w:r>
    </w:p>
    <w:p w14:paraId="09D1384A" w14:textId="77777777" w:rsidR="006B1AE2" w:rsidRPr="006B1AE2" w:rsidRDefault="006B1AE2" w:rsidP="005C5FFB">
      <w:pPr>
        <w:pStyle w:val="ListParagraph"/>
        <w:numPr>
          <w:ilvl w:val="1"/>
          <w:numId w:val="10"/>
        </w:numPr>
        <w:jc w:val="both"/>
      </w:pPr>
      <w:r w:rsidRPr="006B1AE2">
        <w:t xml:space="preserve">Dėklės veikimui būtini standartizuoti duomenų mainų protokolai, atitinkanti saugumo reikalavimus infrastruktūra bei teisinė bazė, užtikrinanti tarpvalstybinį sąveikumą. Siekiant įgyvendinti </w:t>
      </w:r>
      <w:proofErr w:type="spellStart"/>
      <w:r w:rsidRPr="006B1AE2">
        <w:t>eIDAS</w:t>
      </w:r>
      <w:proofErr w:type="spellEnd"/>
      <w:r w:rsidRPr="006B1AE2">
        <w:t xml:space="preserve"> 2.0 , bus priimtos iš viso 63 standartų specifikacijos (33 iš jų jau parengtos), apimančios techninius reikalavimus dėklės funkcionalumui, duomenų saugumo ir privatumo apsaugos reikalavimus, sąveikumo užtikrinimo priemones (įskaitant </w:t>
      </w:r>
      <w:proofErr w:type="spellStart"/>
      <w:r w:rsidRPr="006B1AE2">
        <w:t>wallet</w:t>
      </w:r>
      <w:proofErr w:type="spellEnd"/>
      <w:r w:rsidRPr="006B1AE2">
        <w:t>-to-</w:t>
      </w:r>
      <w:proofErr w:type="spellStart"/>
      <w:r w:rsidRPr="006B1AE2">
        <w:t>wallet</w:t>
      </w:r>
      <w:proofErr w:type="spellEnd"/>
      <w:r w:rsidRPr="006B1AE2">
        <w:t xml:space="preserve"> sąveikos protokolus, kriptografinius sprendimus, duomenų valdymo metodus ir vartotojo autentifikacijos procesus). </w:t>
      </w:r>
    </w:p>
    <w:p w14:paraId="3A6926DB" w14:textId="77777777" w:rsidR="006B1AE2" w:rsidRPr="006B1AE2" w:rsidRDefault="006B1AE2" w:rsidP="005C5FFB">
      <w:pPr>
        <w:pStyle w:val="ListParagraph"/>
        <w:numPr>
          <w:ilvl w:val="1"/>
          <w:numId w:val="10"/>
        </w:numPr>
        <w:tabs>
          <w:tab w:val="left" w:pos="993"/>
        </w:tabs>
        <w:jc w:val="both"/>
      </w:pPr>
      <w:r w:rsidRPr="006B1AE2">
        <w:t xml:space="preserve">Be to, </w:t>
      </w:r>
      <w:proofErr w:type="spellStart"/>
      <w:r w:rsidRPr="006B1AE2">
        <w:t>eIDAS</w:t>
      </w:r>
      <w:proofErr w:type="spellEnd"/>
      <w:r w:rsidRPr="006B1AE2">
        <w:t xml:space="preserve"> 2.0 įgyvendinimui numatyta priimti 19 įgyvendinamųjų teisės aktų, nustatančių detalius techninius, veikimo ir saugumo reikalavimus. Jie užtikrins tarpusavio suderinamumą tarp visų ES valstybių narių, reglamentuos dėklės funkcionalumą, </w:t>
      </w:r>
      <w:r w:rsidRPr="006B1AE2">
        <w:lastRenderedPageBreak/>
        <w:t>sertifikavimo procesus ir saugumo standartus. Šie įgyvendinamieji aktai sudarys vieningą teisinį pagrindą, užtikrinsiantį sklandų dėklės naudojimą tarpvalstybinėms paslaugoms. </w:t>
      </w:r>
    </w:p>
    <w:p w14:paraId="6F046D55" w14:textId="106CE0C1" w:rsidR="006B1AE2" w:rsidRPr="006B1AE2" w:rsidRDefault="006B1AE2" w:rsidP="00884C03">
      <w:pPr>
        <w:pStyle w:val="ListParagraph"/>
        <w:numPr>
          <w:ilvl w:val="1"/>
          <w:numId w:val="10"/>
        </w:numPr>
        <w:tabs>
          <w:tab w:val="left" w:pos="993"/>
        </w:tabs>
        <w:jc w:val="both"/>
      </w:pPr>
      <w:r w:rsidRPr="006B1AE2">
        <w:t xml:space="preserve">Pažymėtina, kad 2024 m. lapkričio 21 d. vykusiame Europos Komisijos inicijuoto </w:t>
      </w:r>
      <w:proofErr w:type="spellStart"/>
      <w:r w:rsidRPr="006B1AE2">
        <w:t>eIDAS</w:t>
      </w:r>
      <w:proofErr w:type="spellEnd"/>
      <w:r w:rsidRPr="006B1AE2">
        <w:t xml:space="preserve"> komiteto posėdyje buvo balsuojama dėl pirmųjų 5 įgyvendinamųjų teisės aktų, susijusių su </w:t>
      </w:r>
      <w:proofErr w:type="spellStart"/>
      <w:r w:rsidRPr="006B1AE2">
        <w:t>eIDAS</w:t>
      </w:r>
      <w:proofErr w:type="spellEnd"/>
      <w:r w:rsidRPr="006B1AE2">
        <w:t xml:space="preserve"> 2.0. Šių aktų priėmimas žymi svarbų etapą dėklės įgyvendinime, nes nuo jų įsigaliojimo pradžios pradedamas skaičiuoti 24 mėnesių terminas, per kurį kiekviena ES valstybė narė, įskaitant Lietuvą, privalo: </w:t>
      </w:r>
    </w:p>
    <w:p w14:paraId="17E3448D" w14:textId="77777777" w:rsidR="006B1AE2" w:rsidRPr="006B1AE2" w:rsidRDefault="006B1AE2" w:rsidP="00884C03">
      <w:pPr>
        <w:pStyle w:val="ListParagraph"/>
        <w:numPr>
          <w:ilvl w:val="1"/>
          <w:numId w:val="10"/>
        </w:numPr>
        <w:tabs>
          <w:tab w:val="left" w:pos="993"/>
        </w:tabs>
        <w:jc w:val="both"/>
      </w:pPr>
      <w:r w:rsidRPr="006B1AE2">
        <w:t>Užtikrinti bent vieną Europinės skaitmeninės tapatybės dėklės sprendimą savo piliečiams ir juridiniams asmenims. </w:t>
      </w:r>
    </w:p>
    <w:p w14:paraId="04C993A4" w14:textId="77777777" w:rsidR="006B1AE2" w:rsidRPr="006B1AE2" w:rsidRDefault="006B1AE2" w:rsidP="00884C03">
      <w:pPr>
        <w:pStyle w:val="ListParagraph"/>
        <w:numPr>
          <w:ilvl w:val="1"/>
          <w:numId w:val="10"/>
        </w:numPr>
        <w:tabs>
          <w:tab w:val="left" w:pos="993"/>
        </w:tabs>
        <w:jc w:val="both"/>
      </w:pPr>
      <w:r w:rsidRPr="006B1AE2">
        <w:t>Įgyvendinti priemones, leidžiančias kvalifikuotų patikimumo užtikrinimo paslaugų teikėjams (teikiantiems elektroninius požymių liudijimus) naudotojo prašymu elektroninėmis priemonėmis tikrinti šiuos požymius pagal ES ir nacionalinę teisę. </w:t>
      </w:r>
    </w:p>
    <w:p w14:paraId="4431B9D1" w14:textId="77777777" w:rsidR="006B1AE2" w:rsidRPr="006B1AE2" w:rsidRDefault="006B1AE2" w:rsidP="00884C03">
      <w:pPr>
        <w:pStyle w:val="ListParagraph"/>
        <w:numPr>
          <w:ilvl w:val="1"/>
          <w:numId w:val="10"/>
        </w:numPr>
        <w:tabs>
          <w:tab w:val="left" w:pos="993"/>
        </w:tabs>
        <w:jc w:val="both"/>
      </w:pPr>
      <w:r w:rsidRPr="006B1AE2">
        <w:t>Tai reiškia, kad Lietuva ir kitos valstybės narės dėklės sprendimą privalo įgyvendinti ne vėliau kaip iki 2026 m. lapkričio mėn. Įgyvendinamieji aktai suteikia techninius, veikimo ir saugumo reikalavimus, būtinus sėkmingam dėklės veikimui užtikrinti, ir sudaro pagrindą valstybių narių veiksmams, rengiant ir diegiant atitinkamus sprendimus. </w:t>
      </w:r>
    </w:p>
    <w:p w14:paraId="51F77CB3" w14:textId="4A392E4D" w:rsidR="006B1AE2" w:rsidRPr="00884C03" w:rsidRDefault="006B1AE2" w:rsidP="00884C03">
      <w:pPr>
        <w:pStyle w:val="ListParagraph"/>
        <w:numPr>
          <w:ilvl w:val="1"/>
          <w:numId w:val="10"/>
        </w:numPr>
        <w:tabs>
          <w:tab w:val="left" w:pos="993"/>
        </w:tabs>
        <w:jc w:val="both"/>
      </w:pPr>
      <w:r w:rsidRPr="006B1AE2">
        <w:t xml:space="preserve">Atsižvelgiant į </w:t>
      </w:r>
      <w:proofErr w:type="spellStart"/>
      <w:r w:rsidRPr="006B1AE2">
        <w:t>eIDAS</w:t>
      </w:r>
      <w:proofErr w:type="spellEnd"/>
      <w:r w:rsidRPr="006B1AE2">
        <w:t xml:space="preserve"> 2.0 numatytus tikslus ir galimus iššūkius, reikalingas koordinuotas valstybės institucijų ir kitų suinteresuotų šalių darbas, kad būtų pasiektas sklandus dėklės įgyvendinimas Lietuvoje. Svarbu aiškiai pasidalyti atsakomybes tarp pagrindinių institucijų, kurios atliks dėklės kūrimo, diegimo, priežiūros ir techninio suderinamumo užtikrinimo funkcijas.</w:t>
      </w:r>
    </w:p>
    <w:p w14:paraId="1E77C1B6" w14:textId="77777777" w:rsidR="006B1AE2" w:rsidRPr="006B1AE2" w:rsidRDefault="006B1AE2" w:rsidP="00884C03">
      <w:pPr>
        <w:pStyle w:val="ListParagraph"/>
        <w:numPr>
          <w:ilvl w:val="1"/>
          <w:numId w:val="10"/>
        </w:numPr>
        <w:tabs>
          <w:tab w:val="left" w:pos="993"/>
        </w:tabs>
        <w:ind w:left="851"/>
        <w:jc w:val="both"/>
      </w:pPr>
      <w:r w:rsidRPr="006B1AE2">
        <w:t>Rengiant studiją aktualūs šie pagrindiniai teisės aktai, dokumentai ar jų projektai:</w:t>
      </w:r>
    </w:p>
    <w:p w14:paraId="4FDC4E47" w14:textId="77777777" w:rsidR="002A2314" w:rsidRDefault="002A2314" w:rsidP="002A2314">
      <w:pPr>
        <w:pStyle w:val="paragraph"/>
        <w:numPr>
          <w:ilvl w:val="0"/>
          <w:numId w:val="12"/>
        </w:numPr>
        <w:spacing w:before="0" w:beforeAutospacing="0" w:after="0" w:afterAutospacing="0"/>
        <w:ind w:left="1080" w:firstLine="0"/>
        <w:jc w:val="both"/>
        <w:textAlignment w:val="baseline"/>
      </w:pPr>
      <w:r>
        <w:rPr>
          <w:rStyle w:val="normaltextrun"/>
          <w:rFonts w:eastAsiaTheme="majorEastAsia"/>
          <w:b/>
          <w:bCs/>
        </w:rPr>
        <w:t>ES teisės aktai ir dokumentai:</w:t>
      </w:r>
      <w:r>
        <w:rPr>
          <w:rStyle w:val="eop"/>
          <w:rFonts w:eastAsiaTheme="majorEastAsia"/>
        </w:rPr>
        <w:t> </w:t>
      </w:r>
    </w:p>
    <w:p w14:paraId="51B3CC97" w14:textId="77777777" w:rsidR="002A2314" w:rsidRDefault="002A2314" w:rsidP="002A2314">
      <w:pPr>
        <w:pStyle w:val="paragraph"/>
        <w:numPr>
          <w:ilvl w:val="0"/>
          <w:numId w:val="13"/>
        </w:numPr>
        <w:spacing w:before="0" w:beforeAutospacing="0" w:after="0" w:afterAutospacing="0"/>
        <w:ind w:left="1080" w:firstLine="0"/>
        <w:jc w:val="both"/>
        <w:textAlignment w:val="baseline"/>
      </w:pPr>
      <w:proofErr w:type="spellStart"/>
      <w:r>
        <w:rPr>
          <w:rStyle w:val="normaltextrun"/>
          <w:rFonts w:eastAsiaTheme="majorEastAsia"/>
        </w:rPr>
        <w:t>eIDAS</w:t>
      </w:r>
      <w:proofErr w:type="spellEnd"/>
      <w:r>
        <w:rPr>
          <w:rStyle w:val="normaltextrun"/>
          <w:rFonts w:eastAsiaTheme="majorEastAsia"/>
        </w:rPr>
        <w:t xml:space="preserve"> 2.0reglamentas;</w:t>
      </w:r>
      <w:r>
        <w:rPr>
          <w:rStyle w:val="eop"/>
          <w:rFonts w:eastAsiaTheme="majorEastAsia"/>
        </w:rPr>
        <w:t> </w:t>
      </w:r>
    </w:p>
    <w:p w14:paraId="79BC8BAD" w14:textId="7BAD22C8" w:rsidR="002A2314" w:rsidRDefault="002A2314" w:rsidP="002A2314">
      <w:pPr>
        <w:pStyle w:val="paragraph"/>
        <w:numPr>
          <w:ilvl w:val="0"/>
          <w:numId w:val="14"/>
        </w:numPr>
        <w:spacing w:before="0" w:beforeAutospacing="0" w:after="0" w:afterAutospacing="0"/>
        <w:ind w:left="1080" w:firstLine="0"/>
        <w:jc w:val="both"/>
        <w:textAlignment w:val="baseline"/>
      </w:pPr>
      <w:proofErr w:type="spellStart"/>
      <w:r>
        <w:rPr>
          <w:rStyle w:val="normaltextrun"/>
          <w:rFonts w:eastAsiaTheme="majorEastAsia"/>
          <w:b/>
          <w:bCs/>
        </w:rPr>
        <w:t>eIDAS</w:t>
      </w:r>
      <w:proofErr w:type="spellEnd"/>
      <w:r>
        <w:rPr>
          <w:rStyle w:val="normaltextrun"/>
          <w:rFonts w:eastAsiaTheme="majorEastAsia"/>
          <w:b/>
          <w:bCs/>
        </w:rPr>
        <w:t xml:space="preserve"> 2.0 įgyvendini</w:t>
      </w:r>
      <w:r w:rsidR="00D92036">
        <w:rPr>
          <w:rStyle w:val="normaltextrun"/>
          <w:rFonts w:eastAsiaTheme="majorEastAsia"/>
          <w:b/>
          <w:bCs/>
        </w:rPr>
        <w:t>mo</w:t>
      </w:r>
      <w:r>
        <w:rPr>
          <w:rStyle w:val="normaltextrun"/>
          <w:rFonts w:eastAsiaTheme="majorEastAsia"/>
          <w:b/>
          <w:bCs/>
        </w:rPr>
        <w:t xml:space="preserve"> aktai ir kt. dokumentai, įskaitant:</w:t>
      </w:r>
      <w:r>
        <w:rPr>
          <w:rStyle w:val="eop"/>
          <w:rFonts w:eastAsiaTheme="majorEastAsia"/>
        </w:rPr>
        <w:t> </w:t>
      </w:r>
    </w:p>
    <w:p w14:paraId="51476F59" w14:textId="77777777" w:rsidR="002A2314" w:rsidRDefault="002A2314" w:rsidP="00884C03">
      <w:pPr>
        <w:pStyle w:val="paragraph"/>
        <w:numPr>
          <w:ilvl w:val="0"/>
          <w:numId w:val="15"/>
        </w:numPr>
        <w:tabs>
          <w:tab w:val="left" w:pos="2127"/>
        </w:tabs>
        <w:spacing w:before="0" w:beforeAutospacing="0" w:after="0" w:afterAutospacing="0"/>
        <w:ind w:left="1800" w:firstLine="0"/>
        <w:jc w:val="both"/>
        <w:textAlignment w:val="baseline"/>
      </w:pPr>
      <w:r>
        <w:rPr>
          <w:rStyle w:val="normaltextrun"/>
          <w:rFonts w:eastAsiaTheme="majorEastAsia"/>
        </w:rPr>
        <w:t xml:space="preserve">Komisijos įgyvendinimo reglamentas (ES) 2015/1502 dėl minimalių techninių specifikacijų ir procedūrų, užtikrinančių elektroninės atpažinties priemonių patikimumo lygius pagal </w:t>
      </w:r>
      <w:proofErr w:type="spellStart"/>
      <w:r>
        <w:rPr>
          <w:rStyle w:val="normaltextrun"/>
          <w:rFonts w:eastAsiaTheme="majorEastAsia"/>
        </w:rPr>
        <w:t>eIDAS</w:t>
      </w:r>
      <w:proofErr w:type="spellEnd"/>
      <w:r>
        <w:rPr>
          <w:rStyle w:val="normaltextrun"/>
          <w:rFonts w:eastAsiaTheme="majorEastAsia"/>
        </w:rPr>
        <w:t xml:space="preserve"> reglamento 8(3) straipsnį.</w:t>
      </w:r>
      <w:r>
        <w:rPr>
          <w:rStyle w:val="eop"/>
          <w:rFonts w:eastAsiaTheme="majorEastAsia"/>
        </w:rPr>
        <w:t> </w:t>
      </w:r>
    </w:p>
    <w:p w14:paraId="3C877AC8" w14:textId="77777777" w:rsidR="002A2314" w:rsidRDefault="002A2314" w:rsidP="00884C03">
      <w:pPr>
        <w:pStyle w:val="paragraph"/>
        <w:numPr>
          <w:ilvl w:val="0"/>
          <w:numId w:val="16"/>
        </w:numPr>
        <w:tabs>
          <w:tab w:val="left" w:pos="2127"/>
        </w:tabs>
        <w:spacing w:before="0" w:beforeAutospacing="0" w:after="0" w:afterAutospacing="0"/>
        <w:ind w:left="1800" w:firstLine="0"/>
        <w:jc w:val="both"/>
        <w:textAlignment w:val="baseline"/>
      </w:pPr>
      <w:r>
        <w:rPr>
          <w:rStyle w:val="normaltextrun"/>
          <w:rFonts w:eastAsiaTheme="majorEastAsia"/>
        </w:rPr>
        <w:t>Komisijos deleguotieji ir įgyvendinamieji reglamentai dėl EUDIW techninių, veikimo ir saugumo reikalavimų;</w:t>
      </w:r>
      <w:r>
        <w:rPr>
          <w:rStyle w:val="eop"/>
          <w:rFonts w:eastAsiaTheme="majorEastAsia"/>
        </w:rPr>
        <w:t> </w:t>
      </w:r>
    </w:p>
    <w:p w14:paraId="347E0F24" w14:textId="77777777" w:rsidR="002A2314" w:rsidRDefault="002A2314" w:rsidP="00884C03">
      <w:pPr>
        <w:pStyle w:val="paragraph"/>
        <w:numPr>
          <w:ilvl w:val="0"/>
          <w:numId w:val="17"/>
        </w:numPr>
        <w:tabs>
          <w:tab w:val="left" w:pos="2127"/>
        </w:tabs>
        <w:spacing w:before="0" w:beforeAutospacing="0" w:after="0" w:afterAutospacing="0"/>
        <w:ind w:left="1800" w:firstLine="0"/>
        <w:jc w:val="both"/>
        <w:textAlignment w:val="baseline"/>
      </w:pPr>
      <w:r>
        <w:rPr>
          <w:rStyle w:val="normaltextrun"/>
          <w:rFonts w:eastAsiaTheme="majorEastAsia"/>
        </w:rPr>
        <w:t>Įgyvendinamieji aktai dėl EUDIW sertifikavimo, atitikties vertinimo ir audito procesų;</w:t>
      </w:r>
      <w:r>
        <w:rPr>
          <w:rStyle w:val="eop"/>
          <w:rFonts w:eastAsiaTheme="majorEastAsia"/>
        </w:rPr>
        <w:t> </w:t>
      </w:r>
    </w:p>
    <w:p w14:paraId="6317B2AA" w14:textId="77777777" w:rsidR="002A2314" w:rsidRDefault="002A2314" w:rsidP="00884C03">
      <w:pPr>
        <w:pStyle w:val="paragraph"/>
        <w:numPr>
          <w:ilvl w:val="0"/>
          <w:numId w:val="18"/>
        </w:numPr>
        <w:tabs>
          <w:tab w:val="left" w:pos="2127"/>
        </w:tabs>
        <w:spacing w:before="0" w:beforeAutospacing="0" w:after="0" w:afterAutospacing="0"/>
        <w:ind w:left="1800" w:firstLine="0"/>
        <w:jc w:val="both"/>
        <w:textAlignment w:val="baseline"/>
      </w:pPr>
      <w:r>
        <w:rPr>
          <w:rStyle w:val="normaltextrun"/>
          <w:rFonts w:eastAsiaTheme="majorEastAsia"/>
        </w:rPr>
        <w:t>Reglamentai, susiję su EUDIW sąveikumo, autentifikavimo ir sertifikavimo standartais;</w:t>
      </w:r>
      <w:r>
        <w:rPr>
          <w:rStyle w:val="eop"/>
          <w:rFonts w:eastAsiaTheme="majorEastAsia"/>
        </w:rPr>
        <w:t> </w:t>
      </w:r>
    </w:p>
    <w:p w14:paraId="1F2E14C1" w14:textId="77777777" w:rsidR="002A2314" w:rsidRDefault="002A2314" w:rsidP="00884C03">
      <w:pPr>
        <w:pStyle w:val="paragraph"/>
        <w:numPr>
          <w:ilvl w:val="0"/>
          <w:numId w:val="19"/>
        </w:numPr>
        <w:tabs>
          <w:tab w:val="left" w:pos="2127"/>
        </w:tabs>
        <w:spacing w:before="0" w:beforeAutospacing="0" w:after="0" w:afterAutospacing="0"/>
        <w:ind w:left="1800" w:firstLine="0"/>
        <w:jc w:val="both"/>
        <w:textAlignment w:val="baseline"/>
      </w:pPr>
      <w:r>
        <w:rPr>
          <w:rStyle w:val="normaltextrun"/>
          <w:rFonts w:eastAsiaTheme="majorEastAsia"/>
        </w:rPr>
        <w:t>Patikimumo užtikrinimo paslaugų teikėjų (TSP) veiklą reglamentuojantys teisės aktai;</w:t>
      </w:r>
      <w:r>
        <w:rPr>
          <w:rStyle w:val="eop"/>
          <w:rFonts w:eastAsiaTheme="majorEastAsia"/>
        </w:rPr>
        <w:t> </w:t>
      </w:r>
    </w:p>
    <w:p w14:paraId="45DEE04B" w14:textId="77777777" w:rsidR="002A2314" w:rsidRDefault="002A2314" w:rsidP="00884C03">
      <w:pPr>
        <w:pStyle w:val="paragraph"/>
        <w:numPr>
          <w:ilvl w:val="0"/>
          <w:numId w:val="20"/>
        </w:numPr>
        <w:tabs>
          <w:tab w:val="left" w:pos="2127"/>
        </w:tabs>
        <w:spacing w:before="0" w:beforeAutospacing="0" w:after="0" w:afterAutospacing="0"/>
        <w:ind w:left="1800" w:firstLine="0"/>
        <w:jc w:val="both"/>
        <w:textAlignment w:val="baseline"/>
      </w:pPr>
      <w:r>
        <w:rPr>
          <w:rStyle w:val="normaltextrun"/>
          <w:rFonts w:eastAsiaTheme="majorEastAsia"/>
        </w:rPr>
        <w:t>Europos skaitmeninės tapatybės dėklės architektūros sprendimų techninė dokumentacija (</w:t>
      </w:r>
      <w:proofErr w:type="spellStart"/>
      <w:r>
        <w:rPr>
          <w:rStyle w:val="normaltextrun"/>
          <w:rFonts w:eastAsiaTheme="majorEastAsia"/>
        </w:rPr>
        <w:t>European</w:t>
      </w:r>
      <w:proofErr w:type="spellEnd"/>
      <w:r>
        <w:rPr>
          <w:rStyle w:val="normaltextrun"/>
          <w:rFonts w:eastAsiaTheme="majorEastAsia"/>
        </w:rPr>
        <w:t xml:space="preserve"> Digital </w:t>
      </w:r>
      <w:proofErr w:type="spellStart"/>
      <w:r>
        <w:rPr>
          <w:rStyle w:val="normaltextrun"/>
          <w:rFonts w:eastAsiaTheme="majorEastAsia"/>
        </w:rPr>
        <w:t>Identity</w:t>
      </w:r>
      <w:proofErr w:type="spellEnd"/>
      <w:r>
        <w:rPr>
          <w:rStyle w:val="normaltextrun"/>
          <w:rFonts w:eastAsiaTheme="majorEastAsia"/>
        </w:rPr>
        <w:t xml:space="preserve"> </w:t>
      </w:r>
      <w:proofErr w:type="spellStart"/>
      <w:r>
        <w:rPr>
          <w:rStyle w:val="normaltextrun"/>
          <w:rFonts w:eastAsiaTheme="majorEastAsia"/>
        </w:rPr>
        <w:t>Wallet</w:t>
      </w:r>
      <w:proofErr w:type="spellEnd"/>
      <w:r>
        <w:rPr>
          <w:rStyle w:val="normaltextrun"/>
          <w:rFonts w:eastAsiaTheme="majorEastAsia"/>
        </w:rPr>
        <w:t xml:space="preserve"> </w:t>
      </w:r>
      <w:proofErr w:type="spellStart"/>
      <w:r>
        <w:rPr>
          <w:rStyle w:val="normaltextrun"/>
          <w:rFonts w:eastAsiaTheme="majorEastAsia"/>
        </w:rPr>
        <w:t>Architecture</w:t>
      </w:r>
      <w:proofErr w:type="spellEnd"/>
      <w:r>
        <w:rPr>
          <w:rStyle w:val="normaltextrun"/>
          <w:rFonts w:eastAsiaTheme="majorEastAsia"/>
        </w:rPr>
        <w:t xml:space="preserve"> </w:t>
      </w:r>
      <w:proofErr w:type="spellStart"/>
      <w:r>
        <w:rPr>
          <w:rStyle w:val="normaltextrun"/>
          <w:rFonts w:eastAsiaTheme="majorEastAsia"/>
        </w:rPr>
        <w:t>and</w:t>
      </w:r>
      <w:proofErr w:type="spellEnd"/>
      <w:r>
        <w:rPr>
          <w:rStyle w:val="normaltextrun"/>
          <w:rFonts w:eastAsiaTheme="majorEastAsia"/>
        </w:rPr>
        <w:t xml:space="preserve"> </w:t>
      </w:r>
      <w:proofErr w:type="spellStart"/>
      <w:r>
        <w:rPr>
          <w:rStyle w:val="normaltextrun"/>
          <w:rFonts w:eastAsiaTheme="majorEastAsia"/>
        </w:rPr>
        <w:t>Reference</w:t>
      </w:r>
      <w:proofErr w:type="spellEnd"/>
      <w:r>
        <w:rPr>
          <w:rStyle w:val="normaltextrun"/>
          <w:rFonts w:eastAsiaTheme="majorEastAsia"/>
        </w:rPr>
        <w:t xml:space="preserve"> </w:t>
      </w:r>
      <w:proofErr w:type="spellStart"/>
      <w:r>
        <w:rPr>
          <w:rStyle w:val="normaltextrun"/>
          <w:rFonts w:eastAsiaTheme="majorEastAsia"/>
        </w:rPr>
        <w:t>Framework</w:t>
      </w:r>
      <w:proofErr w:type="spellEnd"/>
      <w:r>
        <w:rPr>
          <w:rStyle w:val="normaltextrun"/>
          <w:rFonts w:eastAsiaTheme="majorEastAsia"/>
        </w:rPr>
        <w:t xml:space="preserve"> (ARF)).</w:t>
      </w:r>
      <w:r>
        <w:rPr>
          <w:rStyle w:val="eop"/>
          <w:rFonts w:eastAsiaTheme="majorEastAsia"/>
        </w:rPr>
        <w:t> </w:t>
      </w:r>
    </w:p>
    <w:p w14:paraId="124F6F39" w14:textId="72E6C140" w:rsidR="002A2314" w:rsidRDefault="002A2314" w:rsidP="002A2314">
      <w:pPr>
        <w:pStyle w:val="paragraph"/>
        <w:numPr>
          <w:ilvl w:val="0"/>
          <w:numId w:val="21"/>
        </w:numPr>
        <w:spacing w:before="0" w:beforeAutospacing="0" w:after="0" w:afterAutospacing="0"/>
        <w:ind w:left="1080" w:firstLine="0"/>
        <w:jc w:val="both"/>
        <w:textAlignment w:val="baseline"/>
      </w:pPr>
      <w:r>
        <w:rPr>
          <w:rStyle w:val="normaltextrun"/>
          <w:rFonts w:eastAsiaTheme="majorEastAsia"/>
        </w:rPr>
        <w:t>2022 m. gruodžio 14 d. Europos Parlamento ir Tarybos direktyva (ES) 2022/2555</w:t>
      </w:r>
      <w:r>
        <w:rPr>
          <w:rStyle w:val="normaltextrun"/>
          <w:rFonts w:eastAsiaTheme="majorEastAsia"/>
          <w:b/>
          <w:bCs/>
        </w:rPr>
        <w:t> </w:t>
      </w:r>
      <w:r>
        <w:rPr>
          <w:rStyle w:val="normaltextrun"/>
          <w:rFonts w:eastAsiaTheme="majorEastAsia"/>
        </w:rPr>
        <w:t>dėl priemonių aukštam bendram kibernetinio saugumo lygiui visoje Sąjungoje užtikrinti ,</w:t>
      </w:r>
      <w:r>
        <w:rPr>
          <w:rStyle w:val="normaltextrun"/>
          <w:rFonts w:ascii="Roboto" w:eastAsiaTheme="majorEastAsia" w:hAnsi="Roboto"/>
          <w:b/>
          <w:bCs/>
          <w:color w:val="333333"/>
          <w:sz w:val="21"/>
          <w:szCs w:val="21"/>
          <w:shd w:val="clear" w:color="auto" w:fill="FFFFFF"/>
        </w:rPr>
        <w:t xml:space="preserve"> </w:t>
      </w:r>
      <w:r>
        <w:rPr>
          <w:rStyle w:val="normaltextrun"/>
          <w:rFonts w:eastAsiaTheme="majorEastAsia"/>
        </w:rPr>
        <w:t>kuria iš dalies keičiamas Reglamentas (ES) Nr. 910/2014 ir Direktyva (ES) 2018/1972 ir panaikinama Direktyva (ES) 2016/1148 (toliau – NIS 2 direktyva);</w:t>
      </w:r>
      <w:r>
        <w:rPr>
          <w:rStyle w:val="eop"/>
          <w:rFonts w:eastAsiaTheme="majorEastAsia"/>
        </w:rPr>
        <w:t> </w:t>
      </w:r>
    </w:p>
    <w:p w14:paraId="0C6A863F" w14:textId="77777777" w:rsidR="002A2314" w:rsidRDefault="002A2314" w:rsidP="002A2314">
      <w:pPr>
        <w:pStyle w:val="paragraph"/>
        <w:numPr>
          <w:ilvl w:val="0"/>
          <w:numId w:val="22"/>
        </w:numPr>
        <w:spacing w:before="0" w:beforeAutospacing="0" w:after="0" w:afterAutospacing="0"/>
        <w:ind w:left="1080" w:firstLine="0"/>
        <w:jc w:val="both"/>
        <w:textAlignment w:val="baseline"/>
      </w:pPr>
      <w:r>
        <w:rPr>
          <w:rStyle w:val="normaltextrun"/>
          <w:rFonts w:eastAsiaTheme="majorEastAsia"/>
          <w:b/>
          <w:bCs/>
        </w:rPr>
        <w:t>NIS 2 įgyvendinamieji aktai ir kt. dokumentai, įskaitant:</w:t>
      </w:r>
      <w:r>
        <w:rPr>
          <w:rStyle w:val="eop"/>
          <w:rFonts w:eastAsiaTheme="majorEastAsia"/>
        </w:rPr>
        <w:t> </w:t>
      </w:r>
    </w:p>
    <w:p w14:paraId="6DACDCA0" w14:textId="77777777" w:rsidR="002A2314" w:rsidRDefault="002A2314" w:rsidP="00884C03">
      <w:pPr>
        <w:pStyle w:val="paragraph"/>
        <w:numPr>
          <w:ilvl w:val="0"/>
          <w:numId w:val="23"/>
        </w:numPr>
        <w:tabs>
          <w:tab w:val="left" w:pos="2127"/>
        </w:tabs>
        <w:spacing w:before="0" w:beforeAutospacing="0" w:after="0" w:afterAutospacing="0"/>
        <w:ind w:left="1800" w:firstLine="0"/>
        <w:jc w:val="both"/>
        <w:textAlignment w:val="baseline"/>
      </w:pPr>
      <w:r>
        <w:rPr>
          <w:rStyle w:val="normaltextrun"/>
          <w:rFonts w:eastAsiaTheme="majorEastAsia"/>
        </w:rPr>
        <w:t>Komisijos deleguotieji ir įgyvendinamieji reglamentai dėl kibernetinio saugumo priemonių taikymo skaitmeninės tapatybės ekosistemoje;</w:t>
      </w:r>
      <w:r>
        <w:rPr>
          <w:rStyle w:val="eop"/>
          <w:rFonts w:eastAsiaTheme="majorEastAsia"/>
        </w:rPr>
        <w:t> </w:t>
      </w:r>
    </w:p>
    <w:p w14:paraId="1B98D9BE" w14:textId="77777777" w:rsidR="002A2314" w:rsidRDefault="002A2314" w:rsidP="00884C03">
      <w:pPr>
        <w:pStyle w:val="paragraph"/>
        <w:numPr>
          <w:ilvl w:val="0"/>
          <w:numId w:val="24"/>
        </w:numPr>
        <w:tabs>
          <w:tab w:val="left" w:pos="2127"/>
        </w:tabs>
        <w:spacing w:before="0" w:beforeAutospacing="0" w:after="0" w:afterAutospacing="0"/>
        <w:ind w:left="1800" w:firstLine="0"/>
        <w:jc w:val="both"/>
        <w:textAlignment w:val="baseline"/>
      </w:pPr>
      <w:r>
        <w:rPr>
          <w:rStyle w:val="normaltextrun"/>
          <w:rFonts w:eastAsiaTheme="majorEastAsia"/>
        </w:rPr>
        <w:t>Kibernetinio saugumo reikalavimai, taikomi patikimumo užtikrinimo paslaugų teikėjams (TSP) ir viešojo sektoriaus subjektams pagal NIS 2 direktyvą;</w:t>
      </w:r>
      <w:r>
        <w:rPr>
          <w:rStyle w:val="eop"/>
          <w:rFonts w:eastAsiaTheme="majorEastAsia"/>
        </w:rPr>
        <w:t> </w:t>
      </w:r>
    </w:p>
    <w:p w14:paraId="51E60BFD" w14:textId="77777777" w:rsidR="002A2314" w:rsidRDefault="002A2314" w:rsidP="00884C03">
      <w:pPr>
        <w:pStyle w:val="paragraph"/>
        <w:numPr>
          <w:ilvl w:val="0"/>
          <w:numId w:val="25"/>
        </w:numPr>
        <w:tabs>
          <w:tab w:val="left" w:pos="2127"/>
        </w:tabs>
        <w:spacing w:before="0" w:beforeAutospacing="0" w:after="0" w:afterAutospacing="0"/>
        <w:ind w:left="1800" w:firstLine="0"/>
        <w:jc w:val="both"/>
        <w:textAlignment w:val="baseline"/>
      </w:pPr>
      <w:r>
        <w:rPr>
          <w:rStyle w:val="normaltextrun"/>
          <w:rFonts w:eastAsiaTheme="majorEastAsia"/>
        </w:rPr>
        <w:t>Europos kibernetinio saugumo sertifikavimo schemos (EUCS) gairės, taikomos EUDIW ekosistemos komponentams;</w:t>
      </w:r>
      <w:r>
        <w:rPr>
          <w:rStyle w:val="eop"/>
          <w:rFonts w:eastAsiaTheme="majorEastAsia"/>
        </w:rPr>
        <w:t> </w:t>
      </w:r>
    </w:p>
    <w:p w14:paraId="5F892311" w14:textId="06B624A9" w:rsidR="002A2314" w:rsidRDefault="002A2314" w:rsidP="00884C03">
      <w:pPr>
        <w:pStyle w:val="paragraph"/>
        <w:numPr>
          <w:ilvl w:val="0"/>
          <w:numId w:val="26"/>
        </w:numPr>
        <w:tabs>
          <w:tab w:val="left" w:pos="2127"/>
        </w:tabs>
        <w:spacing w:before="0" w:beforeAutospacing="0" w:after="0" w:afterAutospacing="0"/>
        <w:ind w:left="1800" w:firstLine="0"/>
        <w:jc w:val="both"/>
        <w:textAlignment w:val="baseline"/>
      </w:pPr>
      <w:r>
        <w:rPr>
          <w:rStyle w:val="normaltextrun"/>
          <w:rFonts w:eastAsiaTheme="majorEastAsia"/>
        </w:rPr>
        <w:t>Privalomi kibernetinio rizikų valdymo, incidentų stebėsenos ir reagavimo mechanizmai, taikomi EUDIW infrastruktūrai.</w:t>
      </w:r>
      <w:r>
        <w:rPr>
          <w:rStyle w:val="eop"/>
          <w:rFonts w:eastAsiaTheme="majorEastAsia"/>
        </w:rPr>
        <w:t> </w:t>
      </w:r>
    </w:p>
    <w:p w14:paraId="2B131F7D" w14:textId="77777777" w:rsidR="002A2314" w:rsidRDefault="002A2314" w:rsidP="00884C03">
      <w:pPr>
        <w:pStyle w:val="paragraph"/>
        <w:numPr>
          <w:ilvl w:val="0"/>
          <w:numId w:val="27"/>
        </w:numPr>
        <w:spacing w:before="0" w:beforeAutospacing="0" w:after="0" w:afterAutospacing="0"/>
        <w:ind w:left="1080" w:firstLine="0"/>
        <w:jc w:val="both"/>
        <w:textAlignment w:val="baseline"/>
      </w:pPr>
      <w:r>
        <w:rPr>
          <w:rStyle w:val="normaltextrun"/>
          <w:rFonts w:eastAsiaTheme="majorEastAsia"/>
        </w:rPr>
        <w:t xml:space="preserve">2016 m. balandžio 27 d. Europos Parlamento ir Tarybos reglamentas (ES) 2016/679 dėl fizinių asmenų apsaugos tvarkant asmens duomenis ir dėl laisvo tokių duomenų judėjimo, kuriuo panaikinama Direktyva 95/46/EB (toliau – BDAR, angl. General Data </w:t>
      </w:r>
      <w:proofErr w:type="spellStart"/>
      <w:r>
        <w:rPr>
          <w:rStyle w:val="normaltextrun"/>
          <w:rFonts w:eastAsiaTheme="majorEastAsia"/>
        </w:rPr>
        <w:t>Protection</w:t>
      </w:r>
      <w:proofErr w:type="spellEnd"/>
      <w:r>
        <w:rPr>
          <w:rStyle w:val="normaltextrun"/>
          <w:rFonts w:eastAsiaTheme="majorEastAsia"/>
        </w:rPr>
        <w:t xml:space="preserve"> </w:t>
      </w:r>
      <w:proofErr w:type="spellStart"/>
      <w:r>
        <w:rPr>
          <w:rStyle w:val="normaltextrun"/>
          <w:rFonts w:eastAsiaTheme="majorEastAsia"/>
        </w:rPr>
        <w:t>Regulation</w:t>
      </w:r>
      <w:proofErr w:type="spellEnd"/>
      <w:r>
        <w:rPr>
          <w:rStyle w:val="normaltextrun"/>
          <w:rFonts w:eastAsiaTheme="majorEastAsia"/>
        </w:rPr>
        <w:t>, GDPR).</w:t>
      </w:r>
      <w:r>
        <w:rPr>
          <w:rStyle w:val="eop"/>
          <w:rFonts w:eastAsiaTheme="majorEastAsia"/>
        </w:rPr>
        <w:t> </w:t>
      </w:r>
    </w:p>
    <w:p w14:paraId="17ABDB53" w14:textId="77777777" w:rsidR="002A2314" w:rsidRDefault="002A2314" w:rsidP="00884C03">
      <w:pPr>
        <w:pStyle w:val="paragraph"/>
        <w:numPr>
          <w:ilvl w:val="0"/>
          <w:numId w:val="28"/>
        </w:numPr>
        <w:spacing w:before="0" w:beforeAutospacing="0" w:after="0" w:afterAutospacing="0"/>
        <w:ind w:left="1080" w:firstLine="0"/>
        <w:jc w:val="both"/>
        <w:textAlignment w:val="baseline"/>
      </w:pPr>
      <w:r>
        <w:rPr>
          <w:rStyle w:val="normaltextrun"/>
          <w:rFonts w:eastAsiaTheme="majorEastAsia"/>
          <w:b/>
          <w:bCs/>
        </w:rPr>
        <w:t>BDAR įgyvendinamieji aktai ir kt. dokumentai, įskaitant:</w:t>
      </w:r>
      <w:r>
        <w:rPr>
          <w:rStyle w:val="eop"/>
          <w:rFonts w:eastAsiaTheme="majorEastAsia"/>
        </w:rPr>
        <w:t> </w:t>
      </w:r>
    </w:p>
    <w:p w14:paraId="3709BB9F" w14:textId="77777777" w:rsidR="002A2314" w:rsidRDefault="002A2314" w:rsidP="00884C03">
      <w:pPr>
        <w:pStyle w:val="paragraph"/>
        <w:numPr>
          <w:ilvl w:val="0"/>
          <w:numId w:val="29"/>
        </w:numPr>
        <w:tabs>
          <w:tab w:val="left" w:pos="2127"/>
        </w:tabs>
        <w:spacing w:before="0" w:beforeAutospacing="0" w:after="0" w:afterAutospacing="0"/>
        <w:ind w:left="1800" w:firstLine="0"/>
        <w:jc w:val="both"/>
        <w:textAlignment w:val="baseline"/>
      </w:pPr>
      <w:r>
        <w:rPr>
          <w:rStyle w:val="normaltextrun"/>
          <w:rFonts w:eastAsiaTheme="majorEastAsia"/>
        </w:rPr>
        <w:t>Komisijos gairės dėl asmens duomenų tvarkymo skaitmeninės tapatybės srityje;</w:t>
      </w:r>
      <w:r>
        <w:rPr>
          <w:rStyle w:val="eop"/>
          <w:rFonts w:eastAsiaTheme="majorEastAsia"/>
        </w:rPr>
        <w:t> </w:t>
      </w:r>
    </w:p>
    <w:p w14:paraId="0B6F8CA5" w14:textId="77777777" w:rsidR="002A2314" w:rsidRDefault="002A2314" w:rsidP="00884C03">
      <w:pPr>
        <w:pStyle w:val="paragraph"/>
        <w:numPr>
          <w:ilvl w:val="0"/>
          <w:numId w:val="30"/>
        </w:numPr>
        <w:tabs>
          <w:tab w:val="left" w:pos="2127"/>
        </w:tabs>
        <w:spacing w:before="0" w:beforeAutospacing="0" w:after="0" w:afterAutospacing="0"/>
        <w:ind w:left="1800" w:firstLine="0"/>
        <w:jc w:val="both"/>
        <w:textAlignment w:val="baseline"/>
      </w:pPr>
      <w:r>
        <w:rPr>
          <w:rStyle w:val="normaltextrun"/>
          <w:rFonts w:eastAsiaTheme="majorEastAsia"/>
        </w:rPr>
        <w:t xml:space="preserve">Europos duomenų apsaugos valdybos (EDPB) rekomendacijos dėl BDAR taikymo </w:t>
      </w:r>
      <w:proofErr w:type="spellStart"/>
      <w:r>
        <w:rPr>
          <w:rStyle w:val="normaltextrun"/>
          <w:rFonts w:eastAsiaTheme="majorEastAsia"/>
        </w:rPr>
        <w:t>eIDAS</w:t>
      </w:r>
      <w:proofErr w:type="spellEnd"/>
      <w:r>
        <w:rPr>
          <w:rStyle w:val="normaltextrun"/>
          <w:rFonts w:eastAsiaTheme="majorEastAsia"/>
        </w:rPr>
        <w:t xml:space="preserve"> 2.0 kontekste;</w:t>
      </w:r>
      <w:r>
        <w:rPr>
          <w:rStyle w:val="eop"/>
          <w:rFonts w:eastAsiaTheme="majorEastAsia"/>
        </w:rPr>
        <w:t> </w:t>
      </w:r>
    </w:p>
    <w:p w14:paraId="51734D2A" w14:textId="3B1C58CA" w:rsidR="002A2314" w:rsidRDefault="002A2314" w:rsidP="00884C03">
      <w:pPr>
        <w:pStyle w:val="paragraph"/>
        <w:numPr>
          <w:ilvl w:val="0"/>
          <w:numId w:val="31"/>
        </w:numPr>
        <w:tabs>
          <w:tab w:val="left" w:pos="2127"/>
        </w:tabs>
        <w:spacing w:before="0" w:beforeAutospacing="0" w:after="0" w:afterAutospacing="0"/>
        <w:ind w:left="1800" w:firstLine="0"/>
        <w:jc w:val="both"/>
        <w:textAlignment w:val="baseline"/>
      </w:pPr>
      <w:r>
        <w:rPr>
          <w:rStyle w:val="normaltextrun"/>
          <w:rFonts w:eastAsiaTheme="majorEastAsia"/>
        </w:rPr>
        <w:t>Privalomi duomenų apsaugos poveikio vertinimo (DPIA) reikalavimai, taikomi EUDIW;</w:t>
      </w:r>
      <w:r>
        <w:rPr>
          <w:rStyle w:val="eop"/>
          <w:rFonts w:eastAsiaTheme="majorEastAsia"/>
        </w:rPr>
        <w:t> </w:t>
      </w:r>
    </w:p>
    <w:p w14:paraId="4F641913" w14:textId="77777777" w:rsidR="002A2314" w:rsidRDefault="002A2314" w:rsidP="00884C03">
      <w:pPr>
        <w:pStyle w:val="paragraph"/>
        <w:numPr>
          <w:ilvl w:val="0"/>
          <w:numId w:val="32"/>
        </w:numPr>
        <w:tabs>
          <w:tab w:val="left" w:pos="2127"/>
        </w:tabs>
        <w:spacing w:before="0" w:beforeAutospacing="0" w:after="0" w:afterAutospacing="0"/>
        <w:ind w:left="1800" w:firstLine="0"/>
        <w:jc w:val="both"/>
        <w:textAlignment w:val="baseline"/>
      </w:pPr>
      <w:r>
        <w:rPr>
          <w:rStyle w:val="normaltextrun"/>
          <w:rFonts w:eastAsiaTheme="majorEastAsia"/>
        </w:rPr>
        <w:t>Asmens duomenų minimizavimo, pasirinktinio atskleidimo (</w:t>
      </w:r>
      <w:proofErr w:type="spellStart"/>
      <w:r>
        <w:rPr>
          <w:rStyle w:val="normaltextrun"/>
          <w:rFonts w:eastAsiaTheme="majorEastAsia"/>
        </w:rPr>
        <w:t>Selective</w:t>
      </w:r>
      <w:proofErr w:type="spellEnd"/>
      <w:r>
        <w:rPr>
          <w:rStyle w:val="normaltextrun"/>
          <w:rFonts w:eastAsiaTheme="majorEastAsia"/>
        </w:rPr>
        <w:t xml:space="preserve"> </w:t>
      </w:r>
      <w:proofErr w:type="spellStart"/>
      <w:r>
        <w:rPr>
          <w:rStyle w:val="normaltextrun"/>
          <w:rFonts w:eastAsiaTheme="majorEastAsia"/>
        </w:rPr>
        <w:t>Disclosure</w:t>
      </w:r>
      <w:proofErr w:type="spellEnd"/>
      <w:r>
        <w:rPr>
          <w:rStyle w:val="normaltextrun"/>
          <w:rFonts w:eastAsiaTheme="majorEastAsia"/>
        </w:rPr>
        <w:t>) ir privatumo pagal dizainą (</w:t>
      </w:r>
      <w:proofErr w:type="spellStart"/>
      <w:r>
        <w:rPr>
          <w:rStyle w:val="normaltextrun"/>
          <w:rFonts w:eastAsiaTheme="majorEastAsia"/>
          <w:i/>
          <w:iCs/>
        </w:rPr>
        <w:t>Privacy</w:t>
      </w:r>
      <w:proofErr w:type="spellEnd"/>
      <w:r>
        <w:rPr>
          <w:rStyle w:val="normaltextrun"/>
          <w:rFonts w:eastAsiaTheme="majorEastAsia"/>
          <w:i/>
          <w:iCs/>
        </w:rPr>
        <w:t>-</w:t>
      </w:r>
      <w:proofErr w:type="spellStart"/>
      <w:r>
        <w:rPr>
          <w:rStyle w:val="normaltextrun"/>
          <w:rFonts w:eastAsiaTheme="majorEastAsia"/>
          <w:i/>
          <w:iCs/>
        </w:rPr>
        <w:t>by</w:t>
      </w:r>
      <w:proofErr w:type="spellEnd"/>
      <w:r>
        <w:rPr>
          <w:rStyle w:val="normaltextrun"/>
          <w:rFonts w:eastAsiaTheme="majorEastAsia"/>
          <w:i/>
          <w:iCs/>
        </w:rPr>
        <w:t>-Design</w:t>
      </w:r>
      <w:r>
        <w:rPr>
          <w:rStyle w:val="normaltextrun"/>
          <w:rFonts w:eastAsiaTheme="majorEastAsia"/>
        </w:rPr>
        <w:t>) reikalavimai.</w:t>
      </w:r>
      <w:r>
        <w:rPr>
          <w:rStyle w:val="eop"/>
          <w:rFonts w:eastAsiaTheme="majorEastAsia"/>
        </w:rPr>
        <w:t> </w:t>
      </w:r>
    </w:p>
    <w:p w14:paraId="4E22DF6B" w14:textId="77777777" w:rsidR="002A2314" w:rsidRDefault="002A2314" w:rsidP="00884C03">
      <w:pPr>
        <w:pStyle w:val="paragraph"/>
        <w:numPr>
          <w:ilvl w:val="0"/>
          <w:numId w:val="33"/>
        </w:numPr>
        <w:spacing w:before="0" w:beforeAutospacing="0" w:after="0" w:afterAutospacing="0"/>
        <w:ind w:left="1080" w:firstLine="0"/>
        <w:jc w:val="both"/>
        <w:textAlignment w:val="baseline"/>
      </w:pPr>
      <w:r>
        <w:rPr>
          <w:rStyle w:val="normaltextrun"/>
          <w:rFonts w:eastAsiaTheme="majorEastAsia"/>
          <w:b/>
          <w:bCs/>
        </w:rPr>
        <w:t>Lietuvos teisės aktai:</w:t>
      </w:r>
      <w:r>
        <w:rPr>
          <w:rStyle w:val="eop"/>
          <w:rFonts w:eastAsiaTheme="majorEastAsia"/>
        </w:rPr>
        <w:t> </w:t>
      </w:r>
    </w:p>
    <w:p w14:paraId="2AE1ECD4" w14:textId="77777777" w:rsidR="002A2314" w:rsidRDefault="002A2314" w:rsidP="00884C03">
      <w:pPr>
        <w:pStyle w:val="paragraph"/>
        <w:numPr>
          <w:ilvl w:val="0"/>
          <w:numId w:val="34"/>
        </w:numPr>
        <w:spacing w:before="0" w:beforeAutospacing="0" w:after="0" w:afterAutospacing="0"/>
        <w:ind w:left="1080" w:firstLine="0"/>
        <w:jc w:val="both"/>
        <w:textAlignment w:val="baseline"/>
      </w:pPr>
      <w:r>
        <w:rPr>
          <w:rStyle w:val="normaltextrun"/>
          <w:rFonts w:eastAsiaTheme="majorEastAsia"/>
        </w:rPr>
        <w:t>Lietuvos Respublikos elektroninės atpažinties ir elektroninių operacijų patikimumo užtikrinimo paslaugų įstatymas;</w:t>
      </w:r>
      <w:r>
        <w:rPr>
          <w:rStyle w:val="eop"/>
          <w:rFonts w:eastAsiaTheme="majorEastAsia"/>
        </w:rPr>
        <w:t> </w:t>
      </w:r>
    </w:p>
    <w:p w14:paraId="38475C81" w14:textId="77777777" w:rsidR="002A2314" w:rsidRDefault="002A2314" w:rsidP="00884C03">
      <w:pPr>
        <w:pStyle w:val="paragraph"/>
        <w:numPr>
          <w:ilvl w:val="0"/>
          <w:numId w:val="35"/>
        </w:numPr>
        <w:spacing w:before="0" w:beforeAutospacing="0" w:after="0" w:afterAutospacing="0"/>
        <w:ind w:left="1080" w:firstLine="0"/>
        <w:jc w:val="both"/>
        <w:textAlignment w:val="baseline"/>
      </w:pPr>
      <w:r>
        <w:rPr>
          <w:rStyle w:val="normaltextrun"/>
          <w:rFonts w:eastAsiaTheme="majorEastAsia"/>
        </w:rPr>
        <w:t>Lietuvos Respublikos valstybės informacinių išteklių valdymo įstatymas;</w:t>
      </w:r>
      <w:r>
        <w:rPr>
          <w:rStyle w:val="eop"/>
          <w:rFonts w:eastAsiaTheme="majorEastAsia"/>
        </w:rPr>
        <w:t> </w:t>
      </w:r>
    </w:p>
    <w:p w14:paraId="24B49263" w14:textId="77777777" w:rsidR="002A2314" w:rsidRDefault="002A2314" w:rsidP="00884C03">
      <w:pPr>
        <w:pStyle w:val="paragraph"/>
        <w:numPr>
          <w:ilvl w:val="0"/>
          <w:numId w:val="36"/>
        </w:numPr>
        <w:spacing w:before="0" w:beforeAutospacing="0" w:after="0" w:afterAutospacing="0"/>
        <w:ind w:left="1080" w:firstLine="0"/>
        <w:jc w:val="both"/>
        <w:textAlignment w:val="baseline"/>
      </w:pPr>
      <w:r>
        <w:rPr>
          <w:rStyle w:val="normaltextrun"/>
          <w:rFonts w:eastAsiaTheme="majorEastAsia"/>
        </w:rPr>
        <w:t>Lietuvos Respublikos kibernetinio saugumo įstatymas;</w:t>
      </w:r>
      <w:r>
        <w:rPr>
          <w:rStyle w:val="eop"/>
          <w:rFonts w:eastAsiaTheme="majorEastAsia"/>
        </w:rPr>
        <w:t> </w:t>
      </w:r>
    </w:p>
    <w:p w14:paraId="3E60AB6B" w14:textId="77777777" w:rsidR="002A2314" w:rsidRDefault="002A2314" w:rsidP="00884C03">
      <w:pPr>
        <w:pStyle w:val="paragraph"/>
        <w:numPr>
          <w:ilvl w:val="0"/>
          <w:numId w:val="37"/>
        </w:numPr>
        <w:spacing w:before="0" w:beforeAutospacing="0" w:after="0" w:afterAutospacing="0"/>
        <w:ind w:left="1080" w:firstLine="0"/>
        <w:jc w:val="both"/>
        <w:textAlignment w:val="baseline"/>
      </w:pPr>
      <w:r>
        <w:rPr>
          <w:rStyle w:val="normaltextrun"/>
          <w:rFonts w:eastAsiaTheme="majorEastAsia"/>
        </w:rPr>
        <w:t xml:space="preserve">Kvalifikuotų patikimumo užtikrinimo paslaugų teikėjų statuso suteikimo ir priežiūros tvarkos aprašas (nuoroda: </w:t>
      </w:r>
      <w:hyperlink r:id="rId10" w:tgtFrame="_blank" w:history="1">
        <w:r>
          <w:rPr>
            <w:rStyle w:val="normaltextrun"/>
            <w:rFonts w:eastAsiaTheme="majorEastAsia"/>
            <w:color w:val="0563C1"/>
            <w:u w:val="single"/>
          </w:rPr>
          <w:t>e-</w:t>
        </w:r>
        <w:proofErr w:type="spellStart"/>
        <w:r>
          <w:rPr>
            <w:rStyle w:val="normaltextrun"/>
            <w:rFonts w:eastAsiaTheme="majorEastAsia"/>
            <w:color w:val="0563C1"/>
            <w:u w:val="single"/>
          </w:rPr>
          <w:t>tar.lt</w:t>
        </w:r>
        <w:proofErr w:type="spellEnd"/>
      </w:hyperlink>
      <w:r>
        <w:rPr>
          <w:rStyle w:val="normaltextrun"/>
          <w:rFonts w:eastAsiaTheme="majorEastAsia"/>
        </w:rPr>
        <w:t>);</w:t>
      </w:r>
      <w:r>
        <w:rPr>
          <w:rStyle w:val="eop"/>
          <w:rFonts w:eastAsiaTheme="majorEastAsia"/>
        </w:rPr>
        <w:t> </w:t>
      </w:r>
    </w:p>
    <w:p w14:paraId="1D9CFE57" w14:textId="77777777" w:rsidR="002A2314" w:rsidRDefault="002A2314" w:rsidP="00884C03">
      <w:pPr>
        <w:pStyle w:val="paragraph"/>
        <w:numPr>
          <w:ilvl w:val="0"/>
          <w:numId w:val="38"/>
        </w:numPr>
        <w:spacing w:before="0" w:beforeAutospacing="0" w:after="0" w:afterAutospacing="0"/>
        <w:ind w:left="1080" w:firstLine="0"/>
        <w:jc w:val="both"/>
        <w:textAlignment w:val="baseline"/>
      </w:pPr>
      <w:r>
        <w:rPr>
          <w:rStyle w:val="normaltextrun"/>
          <w:rFonts w:eastAsiaTheme="majorEastAsia"/>
        </w:rPr>
        <w:t xml:space="preserve">Lietuvos Respublikos patikimumo užtikrinimo paslaugų priežiūros institucijos vykdomos priežiūros procedūros (nuoroda: </w:t>
      </w:r>
      <w:hyperlink r:id="rId11" w:tgtFrame="_blank" w:history="1">
        <w:proofErr w:type="spellStart"/>
        <w:r>
          <w:rPr>
            <w:rStyle w:val="normaltextrun"/>
            <w:rFonts w:eastAsiaTheme="majorEastAsia"/>
            <w:color w:val="0563C1"/>
            <w:u w:val="single"/>
          </w:rPr>
          <w:t>elektroninisparasas.lt</w:t>
        </w:r>
        <w:proofErr w:type="spellEnd"/>
      </w:hyperlink>
      <w:r>
        <w:rPr>
          <w:rStyle w:val="normaltextrun"/>
          <w:rFonts w:eastAsiaTheme="majorEastAsia"/>
        </w:rPr>
        <w:t>);</w:t>
      </w:r>
      <w:r>
        <w:rPr>
          <w:rStyle w:val="eop"/>
          <w:rFonts w:eastAsiaTheme="majorEastAsia"/>
        </w:rPr>
        <w:t> </w:t>
      </w:r>
    </w:p>
    <w:p w14:paraId="76BF1956" w14:textId="77777777" w:rsidR="006B1AE2" w:rsidRPr="006B1AE2" w:rsidRDefault="006B1AE2" w:rsidP="00884C03">
      <w:pPr>
        <w:jc w:val="both"/>
      </w:pPr>
    </w:p>
    <w:p w14:paraId="1C3BDD66" w14:textId="7A305FCE" w:rsidR="006B1AE2" w:rsidRPr="00F77844" w:rsidRDefault="006B1AE2" w:rsidP="001259D3">
      <w:pPr>
        <w:pStyle w:val="ListParagraph"/>
        <w:numPr>
          <w:ilvl w:val="0"/>
          <w:numId w:val="8"/>
        </w:numPr>
        <w:spacing w:after="0" w:line="240" w:lineRule="auto"/>
        <w:jc w:val="center"/>
        <w:rPr>
          <w:b/>
          <w:bCs/>
        </w:rPr>
      </w:pPr>
      <w:r w:rsidRPr="00F77844">
        <w:rPr>
          <w:b/>
          <w:bCs/>
        </w:rPr>
        <w:t>PIRKIMO OBJEKTAS</w:t>
      </w:r>
    </w:p>
    <w:p w14:paraId="3FA94DEC" w14:textId="77777777" w:rsidR="006B1AE2" w:rsidRPr="006B1AE2" w:rsidRDefault="006B1AE2" w:rsidP="001259D3">
      <w:pPr>
        <w:spacing w:after="0" w:line="240" w:lineRule="auto"/>
      </w:pPr>
    </w:p>
    <w:p w14:paraId="5D1F3598" w14:textId="77777777" w:rsidR="006B1AE2" w:rsidRPr="006B1AE2" w:rsidRDefault="006B1AE2" w:rsidP="001259D3">
      <w:pPr>
        <w:pStyle w:val="ListParagraph"/>
        <w:numPr>
          <w:ilvl w:val="1"/>
          <w:numId w:val="39"/>
        </w:numPr>
        <w:jc w:val="both"/>
      </w:pPr>
      <w:r w:rsidRPr="006B1AE2">
        <w:t>Pirkimo objektas – analitinės studijos „Europinės skaitmeninės tapatybės dėklės įgyvendinimo galimybių analizė ir planas“ (toliau – Studija) parengimo paslaugos.</w:t>
      </w:r>
    </w:p>
    <w:p w14:paraId="1157E06A" w14:textId="6D72E5B5" w:rsidR="006B1AE2" w:rsidRPr="006B1AE2" w:rsidRDefault="006B1AE2" w:rsidP="001259D3">
      <w:pPr>
        <w:pStyle w:val="ListParagraph"/>
        <w:numPr>
          <w:ilvl w:val="1"/>
          <w:numId w:val="39"/>
        </w:numPr>
        <w:jc w:val="both"/>
      </w:pPr>
      <w:r w:rsidRPr="006B1AE2">
        <w:t xml:space="preserve">Studijos tikslas – įvertinti teisinius, organizacinius ir techninius EUDIW įgyvendinimo Lietuvoje aspektus, užtikrinant jo atitiktį </w:t>
      </w:r>
      <w:proofErr w:type="spellStart"/>
      <w:r w:rsidRPr="006B1AE2">
        <w:t>eIDAS</w:t>
      </w:r>
      <w:proofErr w:type="spellEnd"/>
      <w:r w:rsidRPr="006B1AE2">
        <w:t xml:space="preserve"> 2.0 reglamentui, BDAR reikalavimams, NIS2 direktyvai bei ES technologiniams sąveikumo standartams</w:t>
      </w:r>
      <w:r w:rsidR="00650C90">
        <w:t xml:space="preserve"> </w:t>
      </w:r>
      <w:r w:rsidR="00650C90" w:rsidRPr="00650C90">
        <w:t>įskaitant EUDIW architektūrą, technines specifikacijas ir Europos sąveikumo sistemos principus</w:t>
      </w:r>
      <w:r w:rsidR="004058B4">
        <w:t xml:space="preserve"> (pvz. </w:t>
      </w:r>
      <w:r w:rsidR="004058B4" w:rsidRPr="004058B4">
        <w:t>EBSI-</w:t>
      </w:r>
      <w:proofErr w:type="spellStart"/>
      <w:r w:rsidR="004058B4" w:rsidRPr="004058B4">
        <w:t>SSi</w:t>
      </w:r>
      <w:proofErr w:type="spellEnd"/>
      <w:r w:rsidR="004058B4" w:rsidRPr="004058B4">
        <w:t xml:space="preserve">, OpenID4VC, </w:t>
      </w:r>
      <w:proofErr w:type="spellStart"/>
      <w:r w:rsidR="004058B4" w:rsidRPr="004058B4">
        <w:t>eIDAS</w:t>
      </w:r>
      <w:proofErr w:type="spellEnd"/>
      <w:r w:rsidR="004058B4" w:rsidRPr="004058B4">
        <w:t xml:space="preserve"> </w:t>
      </w:r>
      <w:proofErr w:type="spellStart"/>
      <w:r w:rsidR="004058B4" w:rsidRPr="004058B4">
        <w:t>Bridge</w:t>
      </w:r>
      <w:proofErr w:type="spellEnd"/>
      <w:r w:rsidR="004058B4" w:rsidRPr="004058B4">
        <w:t xml:space="preserve"> </w:t>
      </w:r>
      <w:proofErr w:type="spellStart"/>
      <w:r w:rsidR="004058B4" w:rsidRPr="004058B4">
        <w:t>Layer</w:t>
      </w:r>
      <w:proofErr w:type="spellEnd"/>
      <w:r w:rsidR="004058B4" w:rsidRPr="004058B4">
        <w:t xml:space="preserve"> reikalavimai</w:t>
      </w:r>
      <w:r w:rsidR="004058B4">
        <w:t xml:space="preserve"> ir kt.)</w:t>
      </w:r>
      <w:r w:rsidR="00650C90" w:rsidRPr="00650C90">
        <w:t>.</w:t>
      </w:r>
    </w:p>
    <w:p w14:paraId="7348EDF7" w14:textId="77777777" w:rsidR="006B1AE2" w:rsidRPr="002A2314" w:rsidRDefault="006B1AE2" w:rsidP="001259D3">
      <w:pPr>
        <w:pStyle w:val="ListParagraph"/>
        <w:numPr>
          <w:ilvl w:val="1"/>
          <w:numId w:val="39"/>
        </w:numPr>
        <w:jc w:val="both"/>
        <w:rPr>
          <w:b/>
          <w:bCs/>
        </w:rPr>
      </w:pPr>
      <w:r w:rsidRPr="002A2314">
        <w:rPr>
          <w:b/>
          <w:bCs/>
        </w:rPr>
        <w:t>Pagrindinės veiklos, kurios bus Paslaugų teikėjo atliekamos Paslaugų teikimo apimtyje: </w:t>
      </w:r>
    </w:p>
    <w:p w14:paraId="4FDE040E" w14:textId="039602FC" w:rsidR="006B1AE2" w:rsidRPr="00F77844" w:rsidRDefault="006B1AE2" w:rsidP="00307560">
      <w:pPr>
        <w:pStyle w:val="ListParagraph"/>
        <w:numPr>
          <w:ilvl w:val="2"/>
          <w:numId w:val="40"/>
        </w:numPr>
        <w:shd w:val="clear" w:color="auto" w:fill="CAEDFB" w:themeFill="accent4" w:themeFillTint="33"/>
        <w:jc w:val="both"/>
        <w:rPr>
          <w:b/>
          <w:bCs/>
        </w:rPr>
      </w:pPr>
      <w:r w:rsidRPr="00F77844">
        <w:rPr>
          <w:b/>
          <w:bCs/>
        </w:rPr>
        <w:t>Etapas 1. Teisinio parengtumo ir ekosistemos funkcijų nustatymas. Paslaugų teikėjas turi atlikti šiuos uždavinius:</w:t>
      </w:r>
    </w:p>
    <w:p w14:paraId="134E7983" w14:textId="1317654D" w:rsidR="006B1AE2" w:rsidRPr="006B1AE2" w:rsidRDefault="006B1AE2" w:rsidP="001259D3">
      <w:pPr>
        <w:pStyle w:val="ListParagraph"/>
        <w:numPr>
          <w:ilvl w:val="3"/>
          <w:numId w:val="39"/>
        </w:numPr>
        <w:tabs>
          <w:tab w:val="left" w:pos="1985"/>
        </w:tabs>
        <w:jc w:val="both"/>
      </w:pPr>
      <w:r w:rsidRPr="006B1AE2">
        <w:t xml:space="preserve">Teisinės analizės parengimas: Išanalizuoti </w:t>
      </w:r>
      <w:proofErr w:type="spellStart"/>
      <w:r w:rsidRPr="006B1AE2">
        <w:t>eIDAS</w:t>
      </w:r>
      <w:proofErr w:type="spellEnd"/>
      <w:r w:rsidRPr="006B1AE2">
        <w:t xml:space="preserve"> 2.0 reglamento keliamus (naujus) reikalavimus valstybinėms institucijoms ir viešojo sektoriaus įstaigoms, susijusius su EUDIW įgyvendinimu.</w:t>
      </w:r>
    </w:p>
    <w:p w14:paraId="449843B2" w14:textId="75E5FC92" w:rsidR="006B1AE2" w:rsidRPr="006B1AE2" w:rsidRDefault="006B1AE2" w:rsidP="001259D3">
      <w:pPr>
        <w:pStyle w:val="ListParagraph"/>
        <w:numPr>
          <w:ilvl w:val="3"/>
          <w:numId w:val="39"/>
        </w:numPr>
        <w:tabs>
          <w:tab w:val="left" w:pos="1985"/>
        </w:tabs>
        <w:jc w:val="both"/>
      </w:pPr>
      <w:r w:rsidRPr="006B1AE2">
        <w:t>Teisinių kliūčių vertinimas: Išanalizuoti galimas teisines kliūtis, susijusias su EUDIW įgyvendinimu Lietuvoje (duomenų apsauga, viešojo sektoriaus duomenų valdysena, paslaugų su ES sąveikumas).</w:t>
      </w:r>
    </w:p>
    <w:p w14:paraId="2069EAD8" w14:textId="49845CB9" w:rsidR="006B1AE2" w:rsidRPr="006B1AE2" w:rsidRDefault="006B1AE2" w:rsidP="001259D3">
      <w:pPr>
        <w:pStyle w:val="ListParagraph"/>
        <w:numPr>
          <w:ilvl w:val="3"/>
          <w:numId w:val="39"/>
        </w:numPr>
        <w:tabs>
          <w:tab w:val="left" w:pos="1985"/>
        </w:tabs>
        <w:jc w:val="both"/>
      </w:pPr>
      <w:r w:rsidRPr="006B1AE2">
        <w:t xml:space="preserve">Rekomendacijų rengimas: Parengti rekomendacijas dėl reikalingų teisės aktų pakeitimų, siekiant sklandaus </w:t>
      </w:r>
      <w:proofErr w:type="spellStart"/>
      <w:r w:rsidRPr="006B1AE2">
        <w:t>eIDAS</w:t>
      </w:r>
      <w:proofErr w:type="spellEnd"/>
      <w:r w:rsidRPr="006B1AE2">
        <w:t xml:space="preserve"> 2.0 įgyvendinimo. Detalizuoti, kokios konkrečios teisės aktų nuostatos turi būti pakeistos, įskaitant jų tikslų turinį, bei pateikti aiškų teisinių sprendimų ir formuluočių pagrindimą.</w:t>
      </w:r>
    </w:p>
    <w:p w14:paraId="1A631885" w14:textId="6372E33C" w:rsidR="006B1AE2" w:rsidRPr="006B1AE2" w:rsidRDefault="006B1AE2" w:rsidP="001259D3">
      <w:pPr>
        <w:pStyle w:val="ListParagraph"/>
        <w:numPr>
          <w:ilvl w:val="3"/>
          <w:numId w:val="39"/>
        </w:numPr>
        <w:tabs>
          <w:tab w:val="left" w:pos="1985"/>
        </w:tabs>
        <w:jc w:val="both"/>
      </w:pPr>
      <w:r w:rsidRPr="006B1AE2">
        <w:t>Teisinės bazės atnaujinimo planas: Pateikti teisinės bazės atnaujinimo planą, įskaitant pasiūlymus dėl naujų teisės aktų arba esamų teisės aktų pakeitimų.</w:t>
      </w:r>
    </w:p>
    <w:p w14:paraId="66B054B2" w14:textId="2C30B3EA" w:rsidR="006B1AE2" w:rsidRPr="006B1AE2" w:rsidRDefault="006B1AE2" w:rsidP="001259D3">
      <w:pPr>
        <w:pStyle w:val="ListParagraph"/>
        <w:numPr>
          <w:ilvl w:val="3"/>
          <w:numId w:val="39"/>
        </w:numPr>
        <w:tabs>
          <w:tab w:val="left" w:pos="1985"/>
        </w:tabs>
        <w:jc w:val="both"/>
      </w:pPr>
      <w:r w:rsidRPr="006B1AE2">
        <w:t>Ekosistemos ir funkcijų nustatymas:</w:t>
      </w:r>
    </w:p>
    <w:p w14:paraId="15AE1B37" w14:textId="43621944" w:rsidR="006B1AE2" w:rsidRPr="006B1AE2" w:rsidRDefault="006B1AE2" w:rsidP="001259D3">
      <w:pPr>
        <w:pStyle w:val="ListParagraph"/>
        <w:numPr>
          <w:ilvl w:val="3"/>
          <w:numId w:val="39"/>
        </w:numPr>
        <w:tabs>
          <w:tab w:val="left" w:pos="1985"/>
        </w:tabs>
        <w:jc w:val="both"/>
      </w:pPr>
      <w:r w:rsidRPr="006B1AE2">
        <w:t>Nustatyti pagrindinius dalyvių vaidmenis ir galimas alternatyvas dalyvių vaidmenų įgyvendinimui (valstybinės institucijos, privatūs subjektai) EUDIW ekosistemoje Lietuvoje ir ES valstybių narių ekosistemose.</w:t>
      </w:r>
    </w:p>
    <w:p w14:paraId="5356CBB2" w14:textId="33019141" w:rsidR="006B1AE2" w:rsidRPr="006B1AE2" w:rsidRDefault="006B1AE2" w:rsidP="001259D3">
      <w:pPr>
        <w:pStyle w:val="ListParagraph"/>
        <w:numPr>
          <w:ilvl w:val="3"/>
          <w:numId w:val="39"/>
        </w:numPr>
        <w:tabs>
          <w:tab w:val="left" w:pos="1985"/>
        </w:tabs>
        <w:spacing w:after="0" w:line="240" w:lineRule="auto"/>
        <w:jc w:val="both"/>
      </w:pPr>
      <w:r w:rsidRPr="006B1AE2">
        <w:t>Apibrėžti ekosistemos valdysenos ir valdymo modelio koncepciją ir jo palaikymui reikalingas funkcijas.</w:t>
      </w:r>
    </w:p>
    <w:p w14:paraId="43D146C7" w14:textId="77777777" w:rsidR="006B1AE2" w:rsidRPr="006B1AE2" w:rsidRDefault="006B1AE2" w:rsidP="001259D3">
      <w:pPr>
        <w:spacing w:after="0" w:line="240" w:lineRule="auto"/>
      </w:pPr>
    </w:p>
    <w:p w14:paraId="4E951556" w14:textId="63B1B1DF" w:rsidR="006B1AE2" w:rsidRPr="00F77844" w:rsidRDefault="006B1AE2" w:rsidP="00307560">
      <w:pPr>
        <w:pStyle w:val="ListParagraph"/>
        <w:numPr>
          <w:ilvl w:val="2"/>
          <w:numId w:val="39"/>
        </w:numPr>
        <w:shd w:val="clear" w:color="auto" w:fill="CAEDFB" w:themeFill="accent4" w:themeFillTint="33"/>
        <w:jc w:val="both"/>
        <w:rPr>
          <w:b/>
          <w:bCs/>
        </w:rPr>
      </w:pPr>
      <w:r w:rsidRPr="00F77844">
        <w:rPr>
          <w:b/>
          <w:bCs/>
        </w:rPr>
        <w:t>Etapas 2. Techninio parengtumo vertinimas. Paslaugų teikėjas turi atlikti šiuos uždavinius:</w:t>
      </w:r>
    </w:p>
    <w:p w14:paraId="4860644D" w14:textId="2AD5B5F1" w:rsidR="006B1AE2" w:rsidRPr="006B1AE2" w:rsidRDefault="006B1AE2" w:rsidP="00307560">
      <w:pPr>
        <w:pStyle w:val="ListParagraph"/>
        <w:numPr>
          <w:ilvl w:val="3"/>
          <w:numId w:val="39"/>
        </w:numPr>
        <w:tabs>
          <w:tab w:val="left" w:pos="1985"/>
        </w:tabs>
        <w:jc w:val="both"/>
      </w:pPr>
      <w:r w:rsidRPr="006B1AE2">
        <w:t>Išnagrinėti esamas informacines sistemas, registrus bei kitus IT sprendimus (iki 10 objektų, tarp jų turi būti VIISP, MIGRIS, LR gyventojų, juridinių asmenų, užsieniečių registrai ir kt. su Perkančiąją organizacija suderinti objektai), kurie galėtų būti susiję su EUDIW įgyvendinimu ir sistemų parengtumu, pateikiant duomenis į EUDIW, įskaitant procesus, protokolus, formatus ir technines priemones.</w:t>
      </w:r>
    </w:p>
    <w:p w14:paraId="34F4B291" w14:textId="67B1CB6B" w:rsidR="006B1AE2" w:rsidRPr="006B1AE2" w:rsidRDefault="006B1AE2" w:rsidP="00307560">
      <w:pPr>
        <w:pStyle w:val="ListParagraph"/>
        <w:numPr>
          <w:ilvl w:val="3"/>
          <w:numId w:val="39"/>
        </w:numPr>
        <w:tabs>
          <w:tab w:val="left" w:pos="1985"/>
        </w:tabs>
        <w:jc w:val="both"/>
      </w:pPr>
      <w:r w:rsidRPr="006B1AE2">
        <w:t>Įvertinti esamą techninę ekosistemą ir identifikuoti svarbiausias funkcijas, reikalingas sėkmingai sistemos integracijai.</w:t>
      </w:r>
    </w:p>
    <w:p w14:paraId="2A73414A" w14:textId="1C93A871" w:rsidR="006B1AE2" w:rsidRPr="006B1AE2" w:rsidRDefault="006B1AE2" w:rsidP="00307560">
      <w:pPr>
        <w:pStyle w:val="ListParagraph"/>
        <w:numPr>
          <w:ilvl w:val="3"/>
          <w:numId w:val="39"/>
        </w:numPr>
        <w:tabs>
          <w:tab w:val="left" w:pos="1985"/>
        </w:tabs>
        <w:spacing w:after="0" w:line="240" w:lineRule="auto"/>
        <w:jc w:val="both"/>
      </w:pPr>
      <w:r w:rsidRPr="006B1AE2">
        <w:t>Pasiūlyti EUDIW įgyvendinimo techninę architektūrą ir jos alternatyvas, įskaitant siūlomus integracijos modelius, duomenų mainų mechanizmus, saugumo ir sąveikumo reikalavimus, elektroninės atpažinties ir patikimumo užtikrinimo paslaugų prijungimą prie EUDIW, paslaugų teikimo kanalus bei organizacinį techninės architektūros įgyvendinimą.</w:t>
      </w:r>
    </w:p>
    <w:p w14:paraId="229C7AD8" w14:textId="77777777" w:rsidR="006B1AE2" w:rsidRPr="006B1AE2" w:rsidRDefault="006B1AE2" w:rsidP="00307560">
      <w:pPr>
        <w:spacing w:after="0" w:line="240" w:lineRule="auto"/>
      </w:pPr>
    </w:p>
    <w:p w14:paraId="68216478" w14:textId="4B9E8CFD" w:rsidR="006B1AE2" w:rsidRPr="00F77844" w:rsidRDefault="006B1AE2" w:rsidP="00307560">
      <w:pPr>
        <w:pStyle w:val="ListParagraph"/>
        <w:numPr>
          <w:ilvl w:val="2"/>
          <w:numId w:val="39"/>
        </w:numPr>
        <w:shd w:val="clear" w:color="auto" w:fill="CAEDFB" w:themeFill="accent4" w:themeFillTint="33"/>
        <w:jc w:val="both"/>
        <w:rPr>
          <w:b/>
          <w:bCs/>
        </w:rPr>
      </w:pPr>
      <w:r w:rsidRPr="00F77844">
        <w:rPr>
          <w:b/>
          <w:bCs/>
        </w:rPr>
        <w:t>Etapas 3. Įgyvendinimo plano parengimas. Paslaugų teikėjas turi atlikti šiuos uždavinius:</w:t>
      </w:r>
    </w:p>
    <w:p w14:paraId="64182BAE" w14:textId="715B0367" w:rsidR="006B1AE2" w:rsidRDefault="006B1AE2" w:rsidP="00307560">
      <w:pPr>
        <w:pStyle w:val="ListParagraph"/>
        <w:numPr>
          <w:ilvl w:val="3"/>
          <w:numId w:val="39"/>
        </w:numPr>
        <w:tabs>
          <w:tab w:val="left" w:pos="1985"/>
        </w:tabs>
        <w:jc w:val="both"/>
      </w:pPr>
      <w:r w:rsidRPr="006B1AE2">
        <w:t>Gerųjų praktikų analizė: Apžvelgti 2–3 geriausias EUDIW įgyvendinimo praktikas kitose ES valstybėse narėse, trumpai pristatant tinkamiausius modelius Lietuvai.</w:t>
      </w:r>
    </w:p>
    <w:p w14:paraId="176E01FE" w14:textId="4ADAC7F3" w:rsidR="005E1580" w:rsidRDefault="005E1580" w:rsidP="00307560">
      <w:pPr>
        <w:pStyle w:val="ListParagraph"/>
        <w:numPr>
          <w:ilvl w:val="3"/>
          <w:numId w:val="39"/>
        </w:numPr>
        <w:tabs>
          <w:tab w:val="left" w:pos="1985"/>
        </w:tabs>
        <w:jc w:val="both"/>
      </w:pPr>
      <w:r w:rsidRPr="00C1645B">
        <w:t>Parengti siūlom</w:t>
      </w:r>
      <w:r>
        <w:t>ą</w:t>
      </w:r>
      <w:r w:rsidRPr="00C1645B">
        <w:t xml:space="preserve"> EUDIW įgyvendinimo architektūros modelio alternatyv</w:t>
      </w:r>
      <w:r>
        <w:t>ą</w:t>
      </w:r>
      <w:r w:rsidRPr="00C1645B">
        <w:t>, apibrėžiant IT sprendimų ir duomenų mainų</w:t>
      </w:r>
      <w:r>
        <w:t xml:space="preserve"> tarpvalstybinį modelį</w:t>
      </w:r>
      <w:r w:rsidR="00687665">
        <w:t>.</w:t>
      </w:r>
    </w:p>
    <w:p w14:paraId="0DEE9886" w14:textId="6A9AD3C6" w:rsidR="00687665" w:rsidRPr="006B1AE2" w:rsidRDefault="00687665" w:rsidP="00307560">
      <w:pPr>
        <w:pStyle w:val="ListParagraph"/>
        <w:numPr>
          <w:ilvl w:val="3"/>
          <w:numId w:val="39"/>
        </w:numPr>
        <w:tabs>
          <w:tab w:val="left" w:pos="1985"/>
        </w:tabs>
        <w:jc w:val="both"/>
      </w:pPr>
      <w:r w:rsidRPr="00687665">
        <w:t>Įvertinti ir palyginti įgyvendinimo alternatyvas ekonominės naudos ir kaštų įverčiais.</w:t>
      </w:r>
    </w:p>
    <w:p w14:paraId="0E50951F" w14:textId="43E989DF" w:rsidR="006B1AE2" w:rsidRPr="006B1AE2" w:rsidRDefault="006B1AE2" w:rsidP="00307560">
      <w:pPr>
        <w:pStyle w:val="ListParagraph"/>
        <w:numPr>
          <w:ilvl w:val="3"/>
          <w:numId w:val="39"/>
        </w:numPr>
        <w:tabs>
          <w:tab w:val="left" w:pos="1985"/>
        </w:tabs>
        <w:jc w:val="both"/>
      </w:pPr>
      <w:r w:rsidRPr="006B1AE2">
        <w:t>Įgyvendinimo plano ir biudžeto parengimas:</w:t>
      </w:r>
    </w:p>
    <w:p w14:paraId="447570BF" w14:textId="16F80521" w:rsidR="006B1AE2" w:rsidRPr="006B1AE2" w:rsidRDefault="006B1AE2" w:rsidP="00307560">
      <w:pPr>
        <w:pStyle w:val="ListParagraph"/>
        <w:numPr>
          <w:ilvl w:val="3"/>
          <w:numId w:val="39"/>
        </w:numPr>
        <w:tabs>
          <w:tab w:val="left" w:pos="1985"/>
        </w:tabs>
        <w:jc w:val="both"/>
      </w:pPr>
      <w:r w:rsidRPr="006B1AE2">
        <w:t>Parengti išsamų įgyvendinimo planą, įtraukiant veiksmų eigą, terminus, atsakomybės pasiskirstymą tarp EUDIW ekosistemos dalyvių bei reikalingus išteklius, ir pristatyti planą viešose konsultacijose su viešojo sektoriaus atstovais.</w:t>
      </w:r>
    </w:p>
    <w:p w14:paraId="687328D9" w14:textId="5EE1C965" w:rsidR="006B1AE2" w:rsidRPr="006B1AE2" w:rsidRDefault="006B1AE2" w:rsidP="00307560">
      <w:pPr>
        <w:pStyle w:val="ListParagraph"/>
        <w:numPr>
          <w:ilvl w:val="3"/>
          <w:numId w:val="39"/>
        </w:numPr>
        <w:tabs>
          <w:tab w:val="left" w:pos="1985"/>
        </w:tabs>
        <w:jc w:val="both"/>
      </w:pPr>
      <w:r w:rsidRPr="006B1AE2">
        <w:t>Parengti išsamų įgyvendinimo biudžetą, įvertinant techninius, kibernetinio saugumo sprendimų, organizacinius ir teisės aktų pakeitimus bei išteklius, reikalingus sistemos palaikymui.</w:t>
      </w:r>
    </w:p>
    <w:p w14:paraId="24F30864" w14:textId="641D9B75" w:rsidR="006B1AE2" w:rsidRPr="006B1AE2" w:rsidRDefault="006B1AE2" w:rsidP="00307560">
      <w:pPr>
        <w:pStyle w:val="ListParagraph"/>
        <w:numPr>
          <w:ilvl w:val="3"/>
          <w:numId w:val="39"/>
        </w:numPr>
        <w:tabs>
          <w:tab w:val="left" w:pos="1985"/>
        </w:tabs>
        <w:jc w:val="both"/>
      </w:pPr>
      <w:r w:rsidRPr="006B1AE2">
        <w:t>Rizikų vertinimas:</w:t>
      </w:r>
    </w:p>
    <w:p w14:paraId="1A95ABF6" w14:textId="5A7F639E" w:rsidR="006B1AE2" w:rsidRPr="006B1AE2" w:rsidRDefault="006B1AE2" w:rsidP="00307560">
      <w:pPr>
        <w:pStyle w:val="ListParagraph"/>
        <w:numPr>
          <w:ilvl w:val="3"/>
          <w:numId w:val="39"/>
        </w:numPr>
        <w:tabs>
          <w:tab w:val="left" w:pos="1985"/>
        </w:tabs>
        <w:jc w:val="both"/>
      </w:pPr>
      <w:r w:rsidRPr="006B1AE2">
        <w:t>Įvertinti galimas technines, teisines ir organizacines rizikas EUDIW įgyvendinimo procese.</w:t>
      </w:r>
    </w:p>
    <w:p w14:paraId="7AF2C8B7" w14:textId="57E72B92" w:rsidR="006B1AE2" w:rsidRPr="006B1AE2" w:rsidRDefault="006B1AE2" w:rsidP="00307560">
      <w:pPr>
        <w:pStyle w:val="ListParagraph"/>
        <w:numPr>
          <w:ilvl w:val="3"/>
          <w:numId w:val="39"/>
        </w:numPr>
        <w:tabs>
          <w:tab w:val="left" w:pos="1985"/>
        </w:tabs>
        <w:jc w:val="both"/>
      </w:pPr>
      <w:r w:rsidRPr="00F16580">
        <w:t>Parengti galimų rizikų valdymo planą, siūlant sprendimus, kaip šios rizikos galėtų būti minimizuojamos.</w:t>
      </w:r>
    </w:p>
    <w:p w14:paraId="0792301D" w14:textId="586F9D30" w:rsidR="00F62C2E" w:rsidRPr="006B1AE2" w:rsidRDefault="00F62C2E" w:rsidP="00F53BF4">
      <w:pPr>
        <w:pStyle w:val="ListParagraph"/>
        <w:numPr>
          <w:ilvl w:val="1"/>
          <w:numId w:val="39"/>
        </w:numPr>
        <w:tabs>
          <w:tab w:val="left" w:pos="1985"/>
        </w:tabs>
        <w:ind w:left="1728"/>
        <w:jc w:val="both"/>
      </w:pPr>
      <w:r>
        <w:t xml:space="preserve">Paslaugos neturi kelti grėsmės nacionaliniam saugumui vadovaujantis </w:t>
      </w:r>
      <w:r w:rsidR="00F53BF4">
        <w:t xml:space="preserve">LR </w:t>
      </w:r>
      <w:r>
        <w:t>Viešųjų pirkimų įstatymo 37 str. 9 d.</w:t>
      </w:r>
      <w:r w:rsidR="00F53BF4">
        <w:t xml:space="preserve"> 2 p.</w:t>
      </w:r>
    </w:p>
    <w:p w14:paraId="2C512DE1" w14:textId="77777777" w:rsidR="006B1AE2" w:rsidRPr="006B1AE2" w:rsidRDefault="006B1AE2" w:rsidP="006B1AE2"/>
    <w:p w14:paraId="3138850F" w14:textId="1E3D8A4E" w:rsidR="006B1AE2" w:rsidRDefault="006B1AE2" w:rsidP="00307560">
      <w:pPr>
        <w:pStyle w:val="ListParagraph"/>
        <w:numPr>
          <w:ilvl w:val="0"/>
          <w:numId w:val="9"/>
        </w:numPr>
        <w:spacing w:after="0" w:line="240" w:lineRule="auto"/>
        <w:jc w:val="center"/>
        <w:rPr>
          <w:b/>
          <w:bCs/>
          <w:lang w:eastAsia="ja-JP"/>
        </w:rPr>
      </w:pPr>
      <w:r w:rsidRPr="00767687">
        <w:rPr>
          <w:b/>
          <w:bCs/>
        </w:rPr>
        <w:t>PASLAUGŲ APIMTIS IR DETALIZACIJA</w:t>
      </w:r>
    </w:p>
    <w:p w14:paraId="69769F02" w14:textId="77777777" w:rsidR="00307560" w:rsidRPr="00307560" w:rsidRDefault="00307560" w:rsidP="00F53BF4">
      <w:pPr>
        <w:spacing w:after="0" w:line="240" w:lineRule="auto"/>
        <w:rPr>
          <w:b/>
          <w:bCs/>
          <w:lang w:eastAsia="ja-JP"/>
        </w:rPr>
      </w:pPr>
    </w:p>
    <w:p w14:paraId="6B06CF31" w14:textId="19D13EE3" w:rsidR="006B1AE2" w:rsidRPr="006B1AE2" w:rsidRDefault="006B1AE2" w:rsidP="00307560">
      <w:pPr>
        <w:pStyle w:val="ListParagraph"/>
        <w:numPr>
          <w:ilvl w:val="1"/>
          <w:numId w:val="43"/>
        </w:numPr>
        <w:spacing w:after="0" w:line="240" w:lineRule="auto"/>
        <w:jc w:val="both"/>
      </w:pPr>
      <w:r w:rsidRPr="006B1AE2">
        <w:t>Studija rengiama atsižvelgiant į Studijai parengti aktualius dokumentus (tačiau neapsiribojant), kurie nurodyti šios specifikacijos 1.16. punkte.</w:t>
      </w:r>
    </w:p>
    <w:p w14:paraId="7F477EA3" w14:textId="0B663A0C" w:rsidR="006B1AE2" w:rsidRPr="006B1AE2" w:rsidRDefault="006B1AE2" w:rsidP="00307560">
      <w:pPr>
        <w:pStyle w:val="ListParagraph"/>
        <w:numPr>
          <w:ilvl w:val="1"/>
          <w:numId w:val="43"/>
        </w:numPr>
        <w:jc w:val="both"/>
      </w:pPr>
      <w:r w:rsidRPr="006B1AE2">
        <w:t>Studijai yra nustatyti šie uždaviniai ir klausimai, į kuriuos turės atsakyti Paslaugų teikėjas:</w:t>
      </w:r>
    </w:p>
    <w:p w14:paraId="74D22C85" w14:textId="6BCD9EF2" w:rsidR="006B1AE2" w:rsidRPr="006B1AE2" w:rsidRDefault="006B1AE2" w:rsidP="006B1AE2">
      <w:r w:rsidRPr="00767687">
        <w:rPr>
          <w:b/>
          <w:bCs/>
        </w:rPr>
        <w:t>Lentelė Nr.1</w:t>
      </w:r>
      <w:r w:rsidRPr="006B1AE2">
        <w:t xml:space="preserve"> Studijos uždaviniai ir jų detalizacija.</w:t>
      </w:r>
    </w:p>
    <w:tbl>
      <w:tblPr>
        <w:tblStyle w:val="TableGrid1"/>
        <w:tblpPr w:leftFromText="180" w:rightFromText="180" w:vertAnchor="text" w:tblpY="1"/>
        <w:tblOverlap w:val="never"/>
        <w:tblW w:w="9776" w:type="dxa"/>
        <w:tblLayout w:type="fixed"/>
        <w:tblLook w:val="04A0" w:firstRow="1" w:lastRow="0" w:firstColumn="1" w:lastColumn="0" w:noHBand="0" w:noVBand="1"/>
      </w:tblPr>
      <w:tblGrid>
        <w:gridCol w:w="562"/>
        <w:gridCol w:w="1701"/>
        <w:gridCol w:w="5954"/>
        <w:gridCol w:w="1559"/>
      </w:tblGrid>
      <w:tr w:rsidR="006B1AE2" w:rsidRPr="006B1AE2" w14:paraId="049F3F52" w14:textId="77777777" w:rsidTr="00307560">
        <w:trPr>
          <w:trHeight w:val="310"/>
          <w:tblHeader/>
        </w:trPr>
        <w:tc>
          <w:tcPr>
            <w:tcW w:w="562" w:type="dxa"/>
            <w:shd w:val="clear" w:color="auto" w:fill="D9D9D9" w:themeFill="background1" w:themeFillShade="D9"/>
          </w:tcPr>
          <w:p w14:paraId="3E02ED84" w14:textId="22B06424" w:rsidR="006B1AE2" w:rsidRPr="006B1AE2" w:rsidRDefault="00307560" w:rsidP="00571B6F">
            <w:r>
              <w:t>Eil. Nr.</w:t>
            </w:r>
          </w:p>
        </w:tc>
        <w:tc>
          <w:tcPr>
            <w:tcW w:w="1701" w:type="dxa"/>
            <w:shd w:val="clear" w:color="auto" w:fill="D9D9D9" w:themeFill="background1" w:themeFillShade="D9"/>
            <w:vAlign w:val="center"/>
          </w:tcPr>
          <w:p w14:paraId="115EBCE5" w14:textId="77777777" w:rsidR="006B1AE2" w:rsidRPr="006B1AE2" w:rsidRDefault="006B1AE2" w:rsidP="00571B6F">
            <w:r w:rsidRPr="006B1AE2">
              <w:t>Studijos uždavinys</w:t>
            </w:r>
          </w:p>
        </w:tc>
        <w:tc>
          <w:tcPr>
            <w:tcW w:w="5954" w:type="dxa"/>
            <w:shd w:val="clear" w:color="auto" w:fill="D9D9D9" w:themeFill="background1" w:themeFillShade="D9"/>
            <w:vAlign w:val="center"/>
          </w:tcPr>
          <w:p w14:paraId="7A814BCB" w14:textId="77777777" w:rsidR="006B1AE2" w:rsidRPr="006B1AE2" w:rsidRDefault="006B1AE2" w:rsidP="00571B6F">
            <w:r w:rsidRPr="006B1AE2">
              <w:t>Studijos uždavinių detalizacija</w:t>
            </w:r>
          </w:p>
        </w:tc>
        <w:tc>
          <w:tcPr>
            <w:tcW w:w="1559" w:type="dxa"/>
            <w:shd w:val="clear" w:color="auto" w:fill="D9D9D9" w:themeFill="background1" w:themeFillShade="D9"/>
            <w:vAlign w:val="center"/>
          </w:tcPr>
          <w:p w14:paraId="4D45AA33" w14:textId="0A72EBAA" w:rsidR="006B1AE2" w:rsidRPr="006B1AE2" w:rsidRDefault="006B1AE2" w:rsidP="00571B6F">
            <w:r w:rsidRPr="006B1AE2">
              <w:t>Trukmė savaitėmis</w:t>
            </w:r>
          </w:p>
        </w:tc>
      </w:tr>
      <w:tr w:rsidR="006B1AE2" w:rsidRPr="006B1AE2" w14:paraId="5DABB235" w14:textId="77777777" w:rsidTr="00307560">
        <w:trPr>
          <w:trHeight w:val="205"/>
        </w:trPr>
        <w:tc>
          <w:tcPr>
            <w:tcW w:w="9776" w:type="dxa"/>
            <w:gridSpan w:val="4"/>
            <w:shd w:val="clear" w:color="auto" w:fill="CAEDFB" w:themeFill="accent4" w:themeFillTint="33"/>
            <w:vAlign w:val="center"/>
          </w:tcPr>
          <w:p w14:paraId="6C4CE9A1" w14:textId="77777777" w:rsidR="006B1AE2" w:rsidRPr="00767687" w:rsidRDefault="006B1AE2" w:rsidP="00571B6F">
            <w:pPr>
              <w:jc w:val="center"/>
              <w:rPr>
                <w:b/>
                <w:bCs/>
              </w:rPr>
            </w:pPr>
            <w:r w:rsidRPr="00767687">
              <w:rPr>
                <w:b/>
                <w:bCs/>
              </w:rPr>
              <w:t>Etapas 1. Teisinio parengtumo ir ekosistemos funkcijų nustatymas</w:t>
            </w:r>
          </w:p>
        </w:tc>
      </w:tr>
      <w:tr w:rsidR="006B1AE2" w:rsidRPr="006B1AE2" w14:paraId="08A2D991" w14:textId="77777777" w:rsidTr="00307560">
        <w:trPr>
          <w:trHeight w:val="592"/>
        </w:trPr>
        <w:tc>
          <w:tcPr>
            <w:tcW w:w="562" w:type="dxa"/>
            <w:vMerge w:val="restart"/>
          </w:tcPr>
          <w:p w14:paraId="1EE08AAD" w14:textId="77777777" w:rsidR="006B1AE2" w:rsidRPr="006B1AE2" w:rsidRDefault="006B1AE2" w:rsidP="00571B6F">
            <w:r w:rsidRPr="006B1AE2">
              <w:t>1.</w:t>
            </w:r>
          </w:p>
        </w:tc>
        <w:tc>
          <w:tcPr>
            <w:tcW w:w="1701" w:type="dxa"/>
            <w:vMerge w:val="restart"/>
          </w:tcPr>
          <w:p w14:paraId="2734C626" w14:textId="77777777" w:rsidR="006B1AE2" w:rsidRPr="006B1AE2" w:rsidRDefault="006B1AE2" w:rsidP="00307560">
            <w:pPr>
              <w:jc w:val="both"/>
            </w:pPr>
            <w:r w:rsidRPr="006B1AE2">
              <w:t>Teisinė analizė ir rekomendacijos dėl teisės aktų</w:t>
            </w:r>
          </w:p>
        </w:tc>
        <w:tc>
          <w:tcPr>
            <w:tcW w:w="5954" w:type="dxa"/>
          </w:tcPr>
          <w:p w14:paraId="2EA2553B" w14:textId="77777777" w:rsidR="006B1AE2" w:rsidRPr="006B1AE2" w:rsidRDefault="006B1AE2" w:rsidP="00307560">
            <w:pPr>
              <w:jc w:val="both"/>
            </w:pPr>
            <w:r w:rsidRPr="006B1AE2">
              <w:t xml:space="preserve">1.1. Išanalizuoti </w:t>
            </w:r>
            <w:proofErr w:type="spellStart"/>
            <w:r w:rsidRPr="006B1AE2">
              <w:t>eIDAS</w:t>
            </w:r>
            <w:proofErr w:type="spellEnd"/>
            <w:r w:rsidRPr="006B1AE2">
              <w:t xml:space="preserve"> 2.0 reglamento keliamus (naujus) reikalavimus valstybinėms institucijoms ir viešojo sektoriaus įstaigoms, susijusius su EUDIW įgyvendinimu.</w:t>
            </w:r>
          </w:p>
        </w:tc>
        <w:tc>
          <w:tcPr>
            <w:tcW w:w="1559" w:type="dxa"/>
            <w:vMerge w:val="restart"/>
            <w:vAlign w:val="center"/>
          </w:tcPr>
          <w:p w14:paraId="24AC7F78" w14:textId="00DB55BB" w:rsidR="00307560" w:rsidRPr="00307560" w:rsidRDefault="006B1AE2" w:rsidP="00307560">
            <w:pPr>
              <w:jc w:val="both"/>
            </w:pPr>
            <w:r w:rsidRPr="006B1AE2">
              <w:t xml:space="preserve">Rekomenduojama trukmė 14 savaičių bei 4 savaitės pateikto rezultato derinimui, tačiau darbai turi būti  pabaigti ir priimti (pasirašytas </w:t>
            </w:r>
            <w:r w:rsidR="005A7DC6">
              <w:t>paslaugų</w:t>
            </w:r>
            <w:r w:rsidRPr="006B1AE2">
              <w:t xml:space="preserve"> perdavimo–priėmimo aktas) </w:t>
            </w:r>
            <w:r w:rsidRPr="00307560">
              <w:rPr>
                <w:b/>
                <w:bCs/>
              </w:rPr>
              <w:t xml:space="preserve">ne vėliau kaip iki 2025 m. </w:t>
            </w:r>
            <w:r w:rsidR="00FE1790" w:rsidRPr="00307560">
              <w:rPr>
                <w:b/>
                <w:bCs/>
              </w:rPr>
              <w:t>gruodžio</w:t>
            </w:r>
            <w:r w:rsidRPr="00307560">
              <w:rPr>
                <w:b/>
                <w:bCs/>
              </w:rPr>
              <w:t xml:space="preserve"> </w:t>
            </w:r>
            <w:r w:rsidR="00FE1790" w:rsidRPr="00307560">
              <w:rPr>
                <w:b/>
                <w:bCs/>
              </w:rPr>
              <w:t>1</w:t>
            </w:r>
            <w:r w:rsidRPr="00307560">
              <w:rPr>
                <w:b/>
                <w:bCs/>
              </w:rPr>
              <w:t xml:space="preserve"> d.</w:t>
            </w:r>
          </w:p>
        </w:tc>
      </w:tr>
      <w:tr w:rsidR="00DB5A81" w:rsidRPr="006B1AE2" w14:paraId="5486F6F7" w14:textId="77777777" w:rsidTr="00307560">
        <w:trPr>
          <w:trHeight w:val="592"/>
        </w:trPr>
        <w:tc>
          <w:tcPr>
            <w:tcW w:w="562" w:type="dxa"/>
            <w:vMerge/>
          </w:tcPr>
          <w:p w14:paraId="08408F30" w14:textId="77777777" w:rsidR="00DB5A81" w:rsidRPr="006B1AE2" w:rsidRDefault="00DB5A81" w:rsidP="00571B6F"/>
        </w:tc>
        <w:tc>
          <w:tcPr>
            <w:tcW w:w="1701" w:type="dxa"/>
            <w:vMerge/>
          </w:tcPr>
          <w:p w14:paraId="2FC1C795" w14:textId="77777777" w:rsidR="00DB5A81" w:rsidRPr="006B1AE2" w:rsidRDefault="00DB5A81" w:rsidP="00307560">
            <w:pPr>
              <w:jc w:val="both"/>
            </w:pPr>
          </w:p>
        </w:tc>
        <w:tc>
          <w:tcPr>
            <w:tcW w:w="5954" w:type="dxa"/>
          </w:tcPr>
          <w:p w14:paraId="381259E0" w14:textId="4BF3DBCB" w:rsidR="00DB5A81" w:rsidRPr="006B1AE2" w:rsidRDefault="00334213" w:rsidP="00307560">
            <w:pPr>
              <w:jc w:val="both"/>
            </w:pPr>
            <w:r w:rsidRPr="006B1AE2">
              <w:t>1.2. Išanalizuoti galimas teisines kliūtis, susijusias su EUDIW įgyvendinimu Lietuvoje (duomenų apsauga, viešojo sektoriaus duomenų valdysena, paslaugų su ES sąveikumas).</w:t>
            </w:r>
          </w:p>
        </w:tc>
        <w:tc>
          <w:tcPr>
            <w:tcW w:w="1559" w:type="dxa"/>
            <w:vMerge/>
            <w:vAlign w:val="center"/>
          </w:tcPr>
          <w:p w14:paraId="330EA970" w14:textId="77777777" w:rsidR="00DB5A81" w:rsidRPr="006B1AE2" w:rsidRDefault="00DB5A81" w:rsidP="00571B6F"/>
        </w:tc>
      </w:tr>
      <w:tr w:rsidR="006B1AE2" w:rsidRPr="006B1AE2" w14:paraId="108BCA64" w14:textId="77777777" w:rsidTr="00307560">
        <w:trPr>
          <w:trHeight w:val="902"/>
        </w:trPr>
        <w:tc>
          <w:tcPr>
            <w:tcW w:w="562" w:type="dxa"/>
            <w:vMerge/>
          </w:tcPr>
          <w:p w14:paraId="6A814147" w14:textId="77777777" w:rsidR="006B1AE2" w:rsidRPr="006B1AE2" w:rsidRDefault="006B1AE2" w:rsidP="00571B6F"/>
        </w:tc>
        <w:tc>
          <w:tcPr>
            <w:tcW w:w="1701" w:type="dxa"/>
            <w:vMerge/>
          </w:tcPr>
          <w:p w14:paraId="7BB22412" w14:textId="77777777" w:rsidR="006B1AE2" w:rsidRPr="006B1AE2" w:rsidRDefault="006B1AE2" w:rsidP="00307560">
            <w:pPr>
              <w:jc w:val="both"/>
            </w:pPr>
          </w:p>
        </w:tc>
        <w:tc>
          <w:tcPr>
            <w:tcW w:w="5954" w:type="dxa"/>
          </w:tcPr>
          <w:p w14:paraId="7C1EBA3A" w14:textId="62CA575A" w:rsidR="006B1AE2" w:rsidRPr="006B1AE2" w:rsidRDefault="00334213" w:rsidP="00307560">
            <w:pPr>
              <w:jc w:val="both"/>
            </w:pPr>
            <w:r w:rsidRPr="006B1AE2">
              <w:t xml:space="preserve">1.3. Parengti rekomendacijas dėl reikalingų teisės aktų pakeitimų, siekiant sklandaus </w:t>
            </w:r>
            <w:proofErr w:type="spellStart"/>
            <w:r w:rsidRPr="006B1AE2">
              <w:t>eIDAS</w:t>
            </w:r>
            <w:proofErr w:type="spellEnd"/>
            <w:r w:rsidRPr="006B1AE2">
              <w:t xml:space="preserve"> 2.0 įgyvendinimo. Detalizuoti, kokios konkrečios teisės aktų nuostatos turi būti pakeistos, įskaitant jų tikslų turinį, bei pateikti aiškų teisinių sprendimų ir formuluočių pagrindimą.</w:t>
            </w:r>
          </w:p>
        </w:tc>
        <w:tc>
          <w:tcPr>
            <w:tcW w:w="1559" w:type="dxa"/>
            <w:vMerge/>
            <w:vAlign w:val="center"/>
          </w:tcPr>
          <w:p w14:paraId="41DB2E4B" w14:textId="77777777" w:rsidR="006B1AE2" w:rsidRPr="006B1AE2" w:rsidRDefault="006B1AE2" w:rsidP="00571B6F"/>
        </w:tc>
      </w:tr>
      <w:tr w:rsidR="006B1AE2" w:rsidRPr="006B1AE2" w14:paraId="25F791D1" w14:textId="77777777" w:rsidTr="00307560">
        <w:trPr>
          <w:trHeight w:val="475"/>
        </w:trPr>
        <w:tc>
          <w:tcPr>
            <w:tcW w:w="562" w:type="dxa"/>
            <w:vMerge/>
          </w:tcPr>
          <w:p w14:paraId="5DE01B51" w14:textId="77777777" w:rsidR="006B1AE2" w:rsidRPr="006B1AE2" w:rsidRDefault="006B1AE2" w:rsidP="00571B6F"/>
        </w:tc>
        <w:tc>
          <w:tcPr>
            <w:tcW w:w="1701" w:type="dxa"/>
            <w:vMerge/>
          </w:tcPr>
          <w:p w14:paraId="7984ED15" w14:textId="77777777" w:rsidR="006B1AE2" w:rsidRPr="006B1AE2" w:rsidRDefault="006B1AE2" w:rsidP="00307560">
            <w:pPr>
              <w:jc w:val="both"/>
            </w:pPr>
          </w:p>
        </w:tc>
        <w:tc>
          <w:tcPr>
            <w:tcW w:w="5954" w:type="dxa"/>
          </w:tcPr>
          <w:p w14:paraId="7B8825BA" w14:textId="0776CB22" w:rsidR="006B1AE2" w:rsidRPr="006B1AE2" w:rsidRDefault="00334213" w:rsidP="00307560">
            <w:pPr>
              <w:jc w:val="both"/>
            </w:pPr>
            <w:r w:rsidRPr="006B1AE2">
              <w:t>1.4. Pateikti teisinės bazės atnaujinimo planą, įskaitant pasiūlymus dėl naujų teisės aktų arba esamų teisės aktų pakeitimų.</w:t>
            </w:r>
          </w:p>
        </w:tc>
        <w:tc>
          <w:tcPr>
            <w:tcW w:w="1559" w:type="dxa"/>
            <w:vMerge/>
          </w:tcPr>
          <w:p w14:paraId="311C4E60" w14:textId="77777777" w:rsidR="006B1AE2" w:rsidRPr="006B1AE2" w:rsidRDefault="006B1AE2" w:rsidP="00571B6F"/>
        </w:tc>
      </w:tr>
      <w:tr w:rsidR="006B1AE2" w:rsidRPr="006B1AE2" w14:paraId="1DE4098C" w14:textId="77777777" w:rsidTr="00307560">
        <w:trPr>
          <w:trHeight w:val="598"/>
        </w:trPr>
        <w:tc>
          <w:tcPr>
            <w:tcW w:w="562" w:type="dxa"/>
            <w:vMerge/>
          </w:tcPr>
          <w:p w14:paraId="25A1C9B5" w14:textId="77777777" w:rsidR="006B1AE2" w:rsidRPr="006B1AE2" w:rsidRDefault="006B1AE2" w:rsidP="00571B6F"/>
        </w:tc>
        <w:tc>
          <w:tcPr>
            <w:tcW w:w="1701" w:type="dxa"/>
            <w:vMerge/>
          </w:tcPr>
          <w:p w14:paraId="4AC3E2DE" w14:textId="77777777" w:rsidR="006B1AE2" w:rsidRPr="006B1AE2" w:rsidRDefault="006B1AE2" w:rsidP="00307560">
            <w:pPr>
              <w:jc w:val="both"/>
            </w:pPr>
          </w:p>
        </w:tc>
        <w:tc>
          <w:tcPr>
            <w:tcW w:w="5954" w:type="dxa"/>
          </w:tcPr>
          <w:p w14:paraId="57E34EBD" w14:textId="31AC4DFC" w:rsidR="006B1AE2" w:rsidRPr="006B1AE2" w:rsidRDefault="00334213" w:rsidP="00307560">
            <w:pPr>
              <w:jc w:val="both"/>
            </w:pPr>
            <w:r>
              <w:t>1.5.</w:t>
            </w:r>
            <w:r w:rsidR="00951A55">
              <w:t xml:space="preserve"> </w:t>
            </w:r>
            <w:r w:rsidR="005A7DC6">
              <w:t>Parengti</w:t>
            </w:r>
            <w:r w:rsidR="00951A55" w:rsidRPr="00951A55">
              <w:rPr>
                <w:rFonts w:eastAsiaTheme="majorEastAsia"/>
              </w:rPr>
              <w:t xml:space="preserve"> </w:t>
            </w:r>
            <w:r w:rsidR="00951A55" w:rsidRPr="00F53BF4">
              <w:t>Lietuvos Respublikos elektroninės atpažinties ir elektroninių operacijų patikimumo užtikrinimo paslaugų įstatym</w:t>
            </w:r>
            <w:r w:rsidR="00AD314B" w:rsidRPr="00F53BF4">
              <w:t>o pakeitimų projekt</w:t>
            </w:r>
            <w:r w:rsidR="005A7DC6" w:rsidRPr="00F53BF4">
              <w:t>ą</w:t>
            </w:r>
            <w:r w:rsidR="00AD314B" w:rsidRPr="00F53BF4">
              <w:t xml:space="preserve"> </w:t>
            </w:r>
            <w:r w:rsidR="00C95297" w:rsidRPr="00F53BF4">
              <w:t>.</w:t>
            </w:r>
          </w:p>
        </w:tc>
        <w:tc>
          <w:tcPr>
            <w:tcW w:w="1559" w:type="dxa"/>
            <w:vMerge/>
          </w:tcPr>
          <w:p w14:paraId="46509EAC" w14:textId="77777777" w:rsidR="006B1AE2" w:rsidRPr="006B1AE2" w:rsidRDefault="006B1AE2" w:rsidP="00571B6F"/>
        </w:tc>
      </w:tr>
      <w:tr w:rsidR="006B1AE2" w:rsidRPr="006B1AE2" w14:paraId="06B217D4" w14:textId="77777777" w:rsidTr="00307560">
        <w:trPr>
          <w:trHeight w:val="330"/>
        </w:trPr>
        <w:tc>
          <w:tcPr>
            <w:tcW w:w="562" w:type="dxa"/>
            <w:vMerge w:val="restart"/>
            <w:tcBorders>
              <w:right w:val="single" w:sz="4" w:space="0" w:color="auto"/>
            </w:tcBorders>
            <w:shd w:val="clear" w:color="auto" w:fill="auto"/>
            <w:vAlign w:val="center"/>
          </w:tcPr>
          <w:p w14:paraId="504F0A43" w14:textId="77777777" w:rsidR="006B1AE2" w:rsidRPr="006B1AE2" w:rsidRDefault="006B1AE2" w:rsidP="00571B6F">
            <w:r w:rsidRPr="006B1AE2">
              <w:t>2.</w:t>
            </w:r>
          </w:p>
        </w:tc>
        <w:tc>
          <w:tcPr>
            <w:tcW w:w="1701" w:type="dxa"/>
            <w:vMerge w:val="restart"/>
            <w:tcBorders>
              <w:left w:val="single" w:sz="4" w:space="0" w:color="auto"/>
              <w:right w:val="single" w:sz="4" w:space="0" w:color="auto"/>
            </w:tcBorders>
            <w:shd w:val="clear" w:color="auto" w:fill="auto"/>
            <w:vAlign w:val="center"/>
          </w:tcPr>
          <w:p w14:paraId="03499458" w14:textId="77777777" w:rsidR="006B1AE2" w:rsidRPr="006B1AE2" w:rsidRDefault="006B1AE2" w:rsidP="00307560">
            <w:pPr>
              <w:jc w:val="both"/>
            </w:pPr>
            <w:r w:rsidRPr="006B1AE2">
              <w:t>Ekosistemos ir funkcijų nustatymas</w:t>
            </w:r>
          </w:p>
        </w:tc>
        <w:tc>
          <w:tcPr>
            <w:tcW w:w="5954" w:type="dxa"/>
            <w:tcBorders>
              <w:left w:val="single" w:sz="4" w:space="0" w:color="auto"/>
            </w:tcBorders>
            <w:shd w:val="clear" w:color="auto" w:fill="auto"/>
            <w:vAlign w:val="center"/>
          </w:tcPr>
          <w:p w14:paraId="38CCABF1" w14:textId="77777777" w:rsidR="006B1AE2" w:rsidRPr="006B1AE2" w:rsidRDefault="006B1AE2" w:rsidP="00307560">
            <w:pPr>
              <w:jc w:val="both"/>
            </w:pPr>
            <w:r w:rsidRPr="006B1AE2">
              <w:t>2.1. Nustatyti pagrindinius dalyvių vaidmenis ir galimas alternatyvas dalyvių vaidmenų įgyvendinimui (valstybinės institucijos, privatūs subjektai) EUDIW ekosistemoje Lietuvoje ir ES valstybių narių ekosistemomis.</w:t>
            </w:r>
          </w:p>
        </w:tc>
        <w:tc>
          <w:tcPr>
            <w:tcW w:w="1559" w:type="dxa"/>
            <w:vMerge/>
            <w:shd w:val="clear" w:color="auto" w:fill="auto"/>
            <w:vAlign w:val="center"/>
          </w:tcPr>
          <w:p w14:paraId="1EED0A55" w14:textId="77777777" w:rsidR="006B1AE2" w:rsidRPr="006B1AE2" w:rsidRDefault="006B1AE2" w:rsidP="00571B6F"/>
        </w:tc>
      </w:tr>
      <w:tr w:rsidR="006B1AE2" w:rsidRPr="006B1AE2" w14:paraId="6C448F25" w14:textId="77777777" w:rsidTr="00307560">
        <w:trPr>
          <w:trHeight w:val="330"/>
        </w:trPr>
        <w:tc>
          <w:tcPr>
            <w:tcW w:w="562" w:type="dxa"/>
            <w:vMerge/>
            <w:tcBorders>
              <w:right w:val="single" w:sz="4" w:space="0" w:color="auto"/>
            </w:tcBorders>
            <w:shd w:val="clear" w:color="auto" w:fill="F2F2F2" w:themeFill="background1" w:themeFillShade="F2"/>
            <w:vAlign w:val="center"/>
          </w:tcPr>
          <w:p w14:paraId="7948D549" w14:textId="77777777" w:rsidR="006B1AE2" w:rsidRPr="006B1AE2" w:rsidRDefault="006B1AE2" w:rsidP="00571B6F"/>
        </w:tc>
        <w:tc>
          <w:tcPr>
            <w:tcW w:w="1701" w:type="dxa"/>
            <w:vMerge/>
            <w:tcBorders>
              <w:left w:val="single" w:sz="4" w:space="0" w:color="auto"/>
              <w:right w:val="single" w:sz="4" w:space="0" w:color="auto"/>
            </w:tcBorders>
            <w:shd w:val="clear" w:color="auto" w:fill="F2F2F2" w:themeFill="background1" w:themeFillShade="F2"/>
            <w:vAlign w:val="center"/>
          </w:tcPr>
          <w:p w14:paraId="7A2B5757" w14:textId="77777777" w:rsidR="006B1AE2" w:rsidRPr="006B1AE2" w:rsidRDefault="006B1AE2" w:rsidP="00307560">
            <w:pPr>
              <w:jc w:val="both"/>
            </w:pPr>
          </w:p>
        </w:tc>
        <w:tc>
          <w:tcPr>
            <w:tcW w:w="5954" w:type="dxa"/>
            <w:tcBorders>
              <w:left w:val="single" w:sz="4" w:space="0" w:color="auto"/>
            </w:tcBorders>
            <w:shd w:val="clear" w:color="auto" w:fill="FFFFFF" w:themeFill="background1"/>
            <w:vAlign w:val="center"/>
          </w:tcPr>
          <w:p w14:paraId="6BC28E54" w14:textId="099481AD" w:rsidR="006B1AE2" w:rsidRPr="006B1AE2" w:rsidRDefault="006B1AE2" w:rsidP="00307560">
            <w:pPr>
              <w:jc w:val="both"/>
            </w:pPr>
            <w:r w:rsidRPr="006B1AE2">
              <w:t>2.2. Nustatyti kibernetinio saugumo reikalavimus ir rizikų valdymo priemones, remiantis NIS2 direktyva (ar nacionaliniais teisės aktais, kurie susiję su NIS2 įgyvendinimu</w:t>
            </w:r>
            <w:r w:rsidR="00557910">
              <w:t xml:space="preserve">, pvz. </w:t>
            </w:r>
            <w:r w:rsidR="00557910" w:rsidRPr="007E0646">
              <w:rPr>
                <w:bCs/>
                <w:szCs w:val="24"/>
              </w:rPr>
              <w:t xml:space="preserve"> Kibernetinio saugumo įstatymo 2024 m</w:t>
            </w:r>
            <w:r w:rsidR="00557910">
              <w:rPr>
                <w:bCs/>
                <w:szCs w:val="24"/>
              </w:rPr>
              <w:t>.</w:t>
            </w:r>
            <w:r w:rsidR="00557910" w:rsidRPr="007E0646">
              <w:rPr>
                <w:bCs/>
                <w:szCs w:val="24"/>
              </w:rPr>
              <w:t xml:space="preserve"> redakcij</w:t>
            </w:r>
            <w:r w:rsidR="00557910">
              <w:rPr>
                <w:bCs/>
                <w:szCs w:val="24"/>
              </w:rPr>
              <w:t>a</w:t>
            </w:r>
            <w:r w:rsidRPr="006B1AE2">
              <w:t xml:space="preserve">) ir </w:t>
            </w:r>
            <w:proofErr w:type="spellStart"/>
            <w:r w:rsidRPr="006B1AE2">
              <w:t>eIDAS</w:t>
            </w:r>
            <w:proofErr w:type="spellEnd"/>
            <w:r w:rsidRPr="006B1AE2">
              <w:t xml:space="preserve"> 2.0 reglamentu.</w:t>
            </w:r>
          </w:p>
        </w:tc>
        <w:tc>
          <w:tcPr>
            <w:tcW w:w="1559" w:type="dxa"/>
            <w:vMerge/>
            <w:shd w:val="clear" w:color="auto" w:fill="F2F2F2" w:themeFill="background1" w:themeFillShade="F2"/>
            <w:vAlign w:val="center"/>
          </w:tcPr>
          <w:p w14:paraId="21DB11BF" w14:textId="77777777" w:rsidR="006B1AE2" w:rsidRPr="006B1AE2" w:rsidRDefault="006B1AE2" w:rsidP="00571B6F"/>
        </w:tc>
      </w:tr>
      <w:tr w:rsidR="006B1AE2" w:rsidRPr="006B1AE2" w14:paraId="23F89D63" w14:textId="77777777" w:rsidTr="00307560">
        <w:trPr>
          <w:trHeight w:val="330"/>
        </w:trPr>
        <w:tc>
          <w:tcPr>
            <w:tcW w:w="562" w:type="dxa"/>
            <w:vMerge/>
            <w:tcBorders>
              <w:right w:val="single" w:sz="4" w:space="0" w:color="auto"/>
            </w:tcBorders>
            <w:shd w:val="clear" w:color="auto" w:fill="F2F2F2" w:themeFill="background1" w:themeFillShade="F2"/>
            <w:vAlign w:val="center"/>
          </w:tcPr>
          <w:p w14:paraId="1D347894" w14:textId="77777777" w:rsidR="006B1AE2" w:rsidRPr="006B1AE2" w:rsidRDefault="006B1AE2" w:rsidP="00571B6F"/>
        </w:tc>
        <w:tc>
          <w:tcPr>
            <w:tcW w:w="1701" w:type="dxa"/>
            <w:vMerge/>
            <w:tcBorders>
              <w:left w:val="single" w:sz="4" w:space="0" w:color="auto"/>
              <w:right w:val="single" w:sz="4" w:space="0" w:color="auto"/>
            </w:tcBorders>
            <w:shd w:val="clear" w:color="auto" w:fill="F2F2F2" w:themeFill="background1" w:themeFillShade="F2"/>
            <w:vAlign w:val="center"/>
          </w:tcPr>
          <w:p w14:paraId="01027C3E" w14:textId="77777777" w:rsidR="006B1AE2" w:rsidRPr="006B1AE2" w:rsidRDefault="006B1AE2" w:rsidP="00307560">
            <w:pPr>
              <w:jc w:val="both"/>
            </w:pPr>
          </w:p>
        </w:tc>
        <w:tc>
          <w:tcPr>
            <w:tcW w:w="5954" w:type="dxa"/>
            <w:tcBorders>
              <w:left w:val="single" w:sz="4" w:space="0" w:color="auto"/>
            </w:tcBorders>
            <w:shd w:val="clear" w:color="auto" w:fill="FFFFFF" w:themeFill="background1"/>
          </w:tcPr>
          <w:p w14:paraId="57650C05" w14:textId="77777777" w:rsidR="006B1AE2" w:rsidRPr="006B1AE2" w:rsidRDefault="006B1AE2" w:rsidP="00307560">
            <w:pPr>
              <w:jc w:val="both"/>
            </w:pPr>
            <w:r w:rsidRPr="006B1AE2">
              <w:t>2.3. Nustatyti pagrindines ekosistemos funkcijas, įskaitant paslaugų teikimo ir prieigos kanalų įgyvendinimo funkcijas, duomenų tvarkymą, identifikavimo bei autentifikavimo procesus.</w:t>
            </w:r>
          </w:p>
        </w:tc>
        <w:tc>
          <w:tcPr>
            <w:tcW w:w="1559" w:type="dxa"/>
            <w:vMerge/>
            <w:shd w:val="clear" w:color="auto" w:fill="F2F2F2" w:themeFill="background1" w:themeFillShade="F2"/>
            <w:vAlign w:val="center"/>
          </w:tcPr>
          <w:p w14:paraId="5A8B102E" w14:textId="77777777" w:rsidR="006B1AE2" w:rsidRPr="006B1AE2" w:rsidRDefault="006B1AE2" w:rsidP="00571B6F"/>
        </w:tc>
      </w:tr>
      <w:tr w:rsidR="006B1AE2" w:rsidRPr="006B1AE2" w14:paraId="631AF8C1" w14:textId="77777777" w:rsidTr="00307560">
        <w:trPr>
          <w:trHeight w:val="330"/>
        </w:trPr>
        <w:tc>
          <w:tcPr>
            <w:tcW w:w="562" w:type="dxa"/>
            <w:vMerge/>
            <w:tcBorders>
              <w:right w:val="single" w:sz="4" w:space="0" w:color="auto"/>
            </w:tcBorders>
            <w:shd w:val="clear" w:color="auto" w:fill="F2F2F2" w:themeFill="background1" w:themeFillShade="F2"/>
            <w:vAlign w:val="center"/>
          </w:tcPr>
          <w:p w14:paraId="13BAAF4A" w14:textId="77777777" w:rsidR="006B1AE2" w:rsidRPr="006B1AE2" w:rsidRDefault="006B1AE2" w:rsidP="00571B6F"/>
        </w:tc>
        <w:tc>
          <w:tcPr>
            <w:tcW w:w="1701" w:type="dxa"/>
            <w:vMerge/>
            <w:tcBorders>
              <w:left w:val="single" w:sz="4" w:space="0" w:color="auto"/>
              <w:right w:val="single" w:sz="4" w:space="0" w:color="auto"/>
            </w:tcBorders>
            <w:shd w:val="clear" w:color="auto" w:fill="F2F2F2" w:themeFill="background1" w:themeFillShade="F2"/>
            <w:vAlign w:val="center"/>
          </w:tcPr>
          <w:p w14:paraId="7BE378EE" w14:textId="77777777" w:rsidR="006B1AE2" w:rsidRPr="006B1AE2" w:rsidRDefault="006B1AE2" w:rsidP="00307560">
            <w:pPr>
              <w:jc w:val="both"/>
            </w:pPr>
          </w:p>
        </w:tc>
        <w:tc>
          <w:tcPr>
            <w:tcW w:w="5954" w:type="dxa"/>
            <w:tcBorders>
              <w:left w:val="single" w:sz="4" w:space="0" w:color="auto"/>
            </w:tcBorders>
            <w:shd w:val="clear" w:color="auto" w:fill="FFFFFF" w:themeFill="background1"/>
            <w:vAlign w:val="center"/>
          </w:tcPr>
          <w:p w14:paraId="60A33480" w14:textId="77777777" w:rsidR="006B1AE2" w:rsidRPr="006B1AE2" w:rsidRDefault="006B1AE2" w:rsidP="00307560">
            <w:pPr>
              <w:jc w:val="both"/>
            </w:pPr>
            <w:r w:rsidRPr="006B1AE2">
              <w:t>2.4. Apibrėžti ekosistemos valdysenos ir valdymo modelio koncepciją ir jo palaikymui reikalingas funkcijas.</w:t>
            </w:r>
          </w:p>
        </w:tc>
        <w:tc>
          <w:tcPr>
            <w:tcW w:w="1559" w:type="dxa"/>
            <w:vMerge/>
            <w:shd w:val="clear" w:color="auto" w:fill="F2F2F2" w:themeFill="background1" w:themeFillShade="F2"/>
            <w:vAlign w:val="center"/>
          </w:tcPr>
          <w:p w14:paraId="7021FE05" w14:textId="77777777" w:rsidR="006B1AE2" w:rsidRPr="006B1AE2" w:rsidRDefault="006B1AE2" w:rsidP="00571B6F"/>
        </w:tc>
      </w:tr>
      <w:tr w:rsidR="006B1AE2" w:rsidRPr="006B1AE2" w14:paraId="718F80E4" w14:textId="77777777" w:rsidTr="00307560">
        <w:trPr>
          <w:trHeight w:val="210"/>
        </w:trPr>
        <w:tc>
          <w:tcPr>
            <w:tcW w:w="9776" w:type="dxa"/>
            <w:gridSpan w:val="4"/>
            <w:shd w:val="clear" w:color="auto" w:fill="CAEDFB" w:themeFill="accent4" w:themeFillTint="33"/>
          </w:tcPr>
          <w:p w14:paraId="1CC5F688" w14:textId="77777777" w:rsidR="006B1AE2" w:rsidRPr="00767687" w:rsidRDefault="006B1AE2" w:rsidP="00571B6F">
            <w:pPr>
              <w:jc w:val="center"/>
              <w:rPr>
                <w:b/>
                <w:bCs/>
              </w:rPr>
            </w:pPr>
            <w:r w:rsidRPr="00767687">
              <w:rPr>
                <w:b/>
                <w:bCs/>
              </w:rPr>
              <w:t>Etapas 2. Techninio parengtumo vertinimas</w:t>
            </w:r>
          </w:p>
        </w:tc>
      </w:tr>
      <w:tr w:rsidR="006B1AE2" w:rsidRPr="006B1AE2" w14:paraId="06601492" w14:textId="77777777" w:rsidTr="00307560">
        <w:trPr>
          <w:trHeight w:val="620"/>
        </w:trPr>
        <w:tc>
          <w:tcPr>
            <w:tcW w:w="562" w:type="dxa"/>
            <w:vMerge w:val="restart"/>
          </w:tcPr>
          <w:p w14:paraId="2950A197" w14:textId="14A7B03C" w:rsidR="006B1AE2" w:rsidRPr="006B1AE2" w:rsidRDefault="00F77844" w:rsidP="00571B6F">
            <w:r>
              <w:t>3</w:t>
            </w:r>
            <w:r w:rsidR="006B1AE2" w:rsidRPr="006B1AE2">
              <w:t>.</w:t>
            </w:r>
          </w:p>
        </w:tc>
        <w:tc>
          <w:tcPr>
            <w:tcW w:w="1701" w:type="dxa"/>
            <w:vMerge w:val="restart"/>
          </w:tcPr>
          <w:p w14:paraId="50C27FCD" w14:textId="67B8A38A" w:rsidR="006B1AE2" w:rsidRPr="006B1AE2" w:rsidRDefault="006B1AE2" w:rsidP="00B93025">
            <w:pPr>
              <w:jc w:val="both"/>
            </w:pPr>
            <w:r w:rsidRPr="006B1AE2">
              <w:t>Techninė analizė</w:t>
            </w:r>
          </w:p>
        </w:tc>
        <w:tc>
          <w:tcPr>
            <w:tcW w:w="5954" w:type="dxa"/>
          </w:tcPr>
          <w:p w14:paraId="50ADC319" w14:textId="2925F297" w:rsidR="006B1AE2" w:rsidRPr="006B1AE2" w:rsidRDefault="00571B6F" w:rsidP="00B93025">
            <w:pPr>
              <w:jc w:val="both"/>
            </w:pPr>
            <w:r>
              <w:t>3</w:t>
            </w:r>
            <w:r w:rsidR="006B1AE2" w:rsidRPr="006B1AE2">
              <w:t xml:space="preserve">.1. </w:t>
            </w:r>
            <w:r w:rsidR="008B75E0" w:rsidRPr="008B75E0">
              <w:t>Išnagrinėti esamas informacines sistemas, registrus bei kitus IT sprendimus (iki 10 objektų, tarp jų turi būti VIISP, MIGRIS, LR gyventojų, juridinių asmenų, užsieniečių registrai ir kt. su Perkančiąją organizacija suderinti objektai), kurie galėtų būti susiję su EUDIW įgyvendinimu ir sistemų parengtumu, pateikiant duomenis į EUDIW, įskaitant procesus, protokolus, formatus ir technines priemones.</w:t>
            </w:r>
          </w:p>
        </w:tc>
        <w:tc>
          <w:tcPr>
            <w:tcW w:w="1559" w:type="dxa"/>
            <w:vMerge w:val="restart"/>
            <w:vAlign w:val="center"/>
          </w:tcPr>
          <w:p w14:paraId="352277F0" w14:textId="3A388E98" w:rsidR="006B1AE2" w:rsidRPr="006B1AE2" w:rsidRDefault="006B1AE2" w:rsidP="00B93025">
            <w:pPr>
              <w:jc w:val="both"/>
            </w:pPr>
            <w:r w:rsidRPr="006B1AE2">
              <w:t xml:space="preserve">Rekomenduojama trukmė 12 savaičių  bei 4 savaitės pateikto rezultato derinimui, tačiau darbai turi būti  pabaigti ir priimti (pasirašytas </w:t>
            </w:r>
            <w:r w:rsidR="00AE766B">
              <w:t>paslaugų</w:t>
            </w:r>
            <w:r w:rsidRPr="006B1AE2">
              <w:t xml:space="preserve"> perdavimo–priėmimo aktas) </w:t>
            </w:r>
            <w:r w:rsidRPr="00B93025">
              <w:rPr>
                <w:b/>
                <w:bCs/>
              </w:rPr>
              <w:t xml:space="preserve">ne vėliau kaip iki 2025 m. </w:t>
            </w:r>
            <w:r w:rsidR="00FE1790" w:rsidRPr="00B93025">
              <w:rPr>
                <w:b/>
                <w:bCs/>
              </w:rPr>
              <w:t>gruodžio</w:t>
            </w:r>
            <w:r w:rsidRPr="00B93025">
              <w:rPr>
                <w:b/>
                <w:bCs/>
              </w:rPr>
              <w:t xml:space="preserve"> </w:t>
            </w:r>
            <w:r w:rsidR="00FE1790" w:rsidRPr="00B93025">
              <w:rPr>
                <w:b/>
                <w:bCs/>
              </w:rPr>
              <w:t>1</w:t>
            </w:r>
            <w:r w:rsidRPr="00B93025">
              <w:rPr>
                <w:b/>
                <w:bCs/>
              </w:rPr>
              <w:t xml:space="preserve"> d.</w:t>
            </w:r>
          </w:p>
        </w:tc>
      </w:tr>
      <w:tr w:rsidR="006B1AE2" w:rsidRPr="006B1AE2" w14:paraId="7E6DC68F" w14:textId="77777777" w:rsidTr="00307560">
        <w:trPr>
          <w:trHeight w:val="620"/>
        </w:trPr>
        <w:tc>
          <w:tcPr>
            <w:tcW w:w="562" w:type="dxa"/>
            <w:vMerge/>
          </w:tcPr>
          <w:p w14:paraId="2F01EB79" w14:textId="77777777" w:rsidR="006B1AE2" w:rsidRPr="006B1AE2" w:rsidRDefault="006B1AE2" w:rsidP="00571B6F"/>
        </w:tc>
        <w:tc>
          <w:tcPr>
            <w:tcW w:w="1701" w:type="dxa"/>
            <w:vMerge/>
          </w:tcPr>
          <w:p w14:paraId="77B350E7" w14:textId="77777777" w:rsidR="006B1AE2" w:rsidRPr="006B1AE2" w:rsidRDefault="006B1AE2" w:rsidP="00B93025">
            <w:pPr>
              <w:jc w:val="both"/>
            </w:pPr>
          </w:p>
        </w:tc>
        <w:tc>
          <w:tcPr>
            <w:tcW w:w="5954" w:type="dxa"/>
          </w:tcPr>
          <w:p w14:paraId="3533A6DA" w14:textId="27293B54" w:rsidR="006B1AE2" w:rsidRPr="006B1AE2" w:rsidRDefault="00571B6F" w:rsidP="00B93025">
            <w:pPr>
              <w:jc w:val="both"/>
            </w:pPr>
            <w:r>
              <w:t>3</w:t>
            </w:r>
            <w:r w:rsidR="006B1AE2" w:rsidRPr="006B1AE2">
              <w:t>.2 Įvertinti esamą techninę ekosistemą ir identifikuoti svarbiausias funkcijas, reikalingas sėkmingai sistemos integracijai.</w:t>
            </w:r>
          </w:p>
        </w:tc>
        <w:tc>
          <w:tcPr>
            <w:tcW w:w="1559" w:type="dxa"/>
            <w:vMerge/>
          </w:tcPr>
          <w:p w14:paraId="1994D9A1" w14:textId="77777777" w:rsidR="006B1AE2" w:rsidRPr="006B1AE2" w:rsidRDefault="006B1AE2" w:rsidP="00571B6F"/>
        </w:tc>
      </w:tr>
      <w:tr w:rsidR="006B1AE2" w:rsidRPr="006B1AE2" w14:paraId="38EE51EC" w14:textId="77777777" w:rsidTr="00307560">
        <w:trPr>
          <w:trHeight w:val="2182"/>
        </w:trPr>
        <w:tc>
          <w:tcPr>
            <w:tcW w:w="562" w:type="dxa"/>
            <w:vMerge/>
          </w:tcPr>
          <w:p w14:paraId="54674A51" w14:textId="77777777" w:rsidR="006B1AE2" w:rsidRPr="006B1AE2" w:rsidRDefault="006B1AE2" w:rsidP="00571B6F"/>
        </w:tc>
        <w:tc>
          <w:tcPr>
            <w:tcW w:w="1701" w:type="dxa"/>
            <w:vMerge/>
          </w:tcPr>
          <w:p w14:paraId="199AF4B2" w14:textId="77777777" w:rsidR="006B1AE2" w:rsidRPr="006B1AE2" w:rsidRDefault="006B1AE2" w:rsidP="00B93025">
            <w:pPr>
              <w:jc w:val="both"/>
            </w:pPr>
          </w:p>
        </w:tc>
        <w:tc>
          <w:tcPr>
            <w:tcW w:w="5954" w:type="dxa"/>
          </w:tcPr>
          <w:p w14:paraId="68AA2063" w14:textId="3C42668B" w:rsidR="006B1AE2" w:rsidRPr="006B1AE2" w:rsidRDefault="00571B6F" w:rsidP="00B93025">
            <w:pPr>
              <w:jc w:val="both"/>
            </w:pPr>
            <w:r>
              <w:t>3</w:t>
            </w:r>
            <w:r w:rsidR="006B1AE2" w:rsidRPr="006B1AE2">
              <w:t>.3 Pasiūlyti EUDIW įgyvendinimo techninę architektūrą ir jos alternatyvas, įskaitant siūlomus integracijos modelius, duomenų mainų mechanizmus, saugumo ir sąveikumo reikalavimus, elektroninės atpažinties ir patikimumo užtikrinimo paslaugų prijungimą prie EUDIW, paslaugų teikimo kanalus bei organizacinį techninės architektūros įgyvendinimą.</w:t>
            </w:r>
          </w:p>
        </w:tc>
        <w:tc>
          <w:tcPr>
            <w:tcW w:w="1559" w:type="dxa"/>
            <w:vMerge/>
          </w:tcPr>
          <w:p w14:paraId="61A959FE" w14:textId="77777777" w:rsidR="006B1AE2" w:rsidRPr="006B1AE2" w:rsidRDefault="006B1AE2" w:rsidP="00571B6F"/>
        </w:tc>
      </w:tr>
      <w:tr w:rsidR="006B1AE2" w:rsidRPr="006B1AE2" w14:paraId="34295633" w14:textId="77777777" w:rsidTr="00B93025">
        <w:trPr>
          <w:trHeight w:val="590"/>
        </w:trPr>
        <w:tc>
          <w:tcPr>
            <w:tcW w:w="9776" w:type="dxa"/>
            <w:gridSpan w:val="4"/>
            <w:shd w:val="clear" w:color="auto" w:fill="CAEDFB" w:themeFill="accent4" w:themeFillTint="33"/>
          </w:tcPr>
          <w:p w14:paraId="29C98CBF" w14:textId="77777777" w:rsidR="006B1AE2" w:rsidRPr="00767687" w:rsidRDefault="006B1AE2" w:rsidP="00571B6F">
            <w:pPr>
              <w:jc w:val="center"/>
              <w:rPr>
                <w:b/>
                <w:bCs/>
              </w:rPr>
            </w:pPr>
            <w:r w:rsidRPr="00767687">
              <w:rPr>
                <w:b/>
                <w:bCs/>
              </w:rPr>
              <w:t>Etapas 3. Įgyvendinimo plano parengimas</w:t>
            </w:r>
          </w:p>
        </w:tc>
      </w:tr>
      <w:tr w:rsidR="00444A91" w:rsidRPr="006B1AE2" w14:paraId="5C20AB0B" w14:textId="2C82323B" w:rsidTr="00307560">
        <w:trPr>
          <w:trHeight w:val="866"/>
        </w:trPr>
        <w:tc>
          <w:tcPr>
            <w:tcW w:w="562" w:type="dxa"/>
            <w:tcBorders>
              <w:bottom w:val="single" w:sz="4" w:space="0" w:color="000000"/>
              <w:right w:val="single" w:sz="4" w:space="0" w:color="auto"/>
            </w:tcBorders>
            <w:shd w:val="clear" w:color="auto" w:fill="FFFFFF" w:themeFill="background1"/>
          </w:tcPr>
          <w:p w14:paraId="7ABDBDA0" w14:textId="6E8A2200" w:rsidR="00444A91" w:rsidRPr="00767687" w:rsidRDefault="00444A91" w:rsidP="00571B6F">
            <w:pPr>
              <w:jc w:val="center"/>
              <w:rPr>
                <w:b/>
                <w:bCs/>
              </w:rPr>
            </w:pPr>
            <w:r>
              <w:t>4.</w:t>
            </w:r>
          </w:p>
        </w:tc>
        <w:tc>
          <w:tcPr>
            <w:tcW w:w="1701" w:type="dxa"/>
            <w:tcBorders>
              <w:bottom w:val="single" w:sz="4" w:space="0" w:color="000000"/>
              <w:right w:val="single" w:sz="4" w:space="0" w:color="auto"/>
            </w:tcBorders>
            <w:shd w:val="clear" w:color="auto" w:fill="FFFFFF" w:themeFill="background1"/>
          </w:tcPr>
          <w:p w14:paraId="00433FED" w14:textId="6C9D72F2" w:rsidR="00444A91" w:rsidRPr="00767687" w:rsidRDefault="00444A91" w:rsidP="00B93025">
            <w:pPr>
              <w:jc w:val="both"/>
              <w:rPr>
                <w:b/>
                <w:bCs/>
              </w:rPr>
            </w:pPr>
            <w:r w:rsidRPr="006B1AE2">
              <w:t>Gerųjų praktikų analizė</w:t>
            </w:r>
          </w:p>
        </w:tc>
        <w:tc>
          <w:tcPr>
            <w:tcW w:w="5954" w:type="dxa"/>
            <w:tcBorders>
              <w:left w:val="single" w:sz="4" w:space="0" w:color="auto"/>
              <w:bottom w:val="single" w:sz="4" w:space="0" w:color="000000"/>
              <w:right w:val="single" w:sz="4" w:space="0" w:color="auto"/>
            </w:tcBorders>
            <w:shd w:val="clear" w:color="auto" w:fill="FFFFFF" w:themeFill="background1"/>
          </w:tcPr>
          <w:p w14:paraId="2E626505" w14:textId="01B5C7E5" w:rsidR="00444A91" w:rsidRPr="00767687" w:rsidRDefault="00684A85" w:rsidP="00B93025">
            <w:pPr>
              <w:jc w:val="both"/>
              <w:rPr>
                <w:b/>
                <w:bCs/>
              </w:rPr>
            </w:pPr>
            <w:r>
              <w:t xml:space="preserve">4.1. </w:t>
            </w:r>
            <w:r w:rsidR="00444A91" w:rsidRPr="006B1AE2">
              <w:t>Apžvelgti 2–3 geriausias EUDIW įgyvendinimo praktikas kitose ES valstybėse narėse, trumpai pristatant tinkamiausius modelius Lietuvai.</w:t>
            </w:r>
          </w:p>
        </w:tc>
        <w:tc>
          <w:tcPr>
            <w:tcW w:w="1559" w:type="dxa"/>
            <w:vMerge w:val="restart"/>
            <w:tcBorders>
              <w:left w:val="single" w:sz="4" w:space="0" w:color="auto"/>
              <w:bottom w:val="single" w:sz="4" w:space="0" w:color="000000"/>
            </w:tcBorders>
            <w:shd w:val="clear" w:color="auto" w:fill="FFFFFF" w:themeFill="background1"/>
          </w:tcPr>
          <w:p w14:paraId="19CDCDB7" w14:textId="26C33317" w:rsidR="00444A91" w:rsidRPr="00767687" w:rsidRDefault="00444A91" w:rsidP="00B93025">
            <w:pPr>
              <w:jc w:val="both"/>
              <w:rPr>
                <w:b/>
                <w:bCs/>
              </w:rPr>
            </w:pPr>
            <w:r w:rsidRPr="006B1AE2">
              <w:t xml:space="preserve">Rekomenduojama trukmė 12 savaičių bei 4 savaitės pateikto rezultato derinimui, tačiau darbai turi būti pabaigti ir priimti (pasirašytas </w:t>
            </w:r>
            <w:r w:rsidR="00AE766B">
              <w:t>paslaugų</w:t>
            </w:r>
            <w:r w:rsidRPr="006B1AE2">
              <w:t xml:space="preserve"> perdavimo–priėmimo aktas) </w:t>
            </w:r>
            <w:r w:rsidR="004377DD" w:rsidRPr="00B93025">
              <w:rPr>
                <w:b/>
                <w:bCs/>
              </w:rPr>
              <w:t>ne vėliau</w:t>
            </w:r>
            <w:r w:rsidRPr="00B93025">
              <w:rPr>
                <w:b/>
                <w:bCs/>
              </w:rPr>
              <w:t xml:space="preserve"> kaip </w:t>
            </w:r>
            <w:r w:rsidR="004377DD" w:rsidRPr="00B93025">
              <w:rPr>
                <w:b/>
                <w:bCs/>
              </w:rPr>
              <w:t>iki</w:t>
            </w:r>
            <w:r w:rsidRPr="00B93025">
              <w:rPr>
                <w:b/>
                <w:bCs/>
              </w:rPr>
              <w:t xml:space="preserve"> 2026 m. </w:t>
            </w:r>
            <w:r w:rsidR="004377DD" w:rsidRPr="00B93025">
              <w:rPr>
                <w:b/>
                <w:bCs/>
              </w:rPr>
              <w:t>kovo 1 d.</w:t>
            </w:r>
          </w:p>
        </w:tc>
      </w:tr>
      <w:tr w:rsidR="00571B6F" w:rsidRPr="006B1AE2" w14:paraId="56D3D97C" w14:textId="77777777" w:rsidTr="00307560">
        <w:trPr>
          <w:trHeight w:val="617"/>
        </w:trPr>
        <w:tc>
          <w:tcPr>
            <w:tcW w:w="562" w:type="dxa"/>
            <w:vMerge w:val="restart"/>
          </w:tcPr>
          <w:p w14:paraId="30DCC210" w14:textId="2996F80B" w:rsidR="00571B6F" w:rsidRPr="006B1AE2" w:rsidRDefault="00571B6F" w:rsidP="00571B6F">
            <w:r>
              <w:t>5.</w:t>
            </w:r>
          </w:p>
        </w:tc>
        <w:tc>
          <w:tcPr>
            <w:tcW w:w="1701" w:type="dxa"/>
            <w:vMerge w:val="restart"/>
          </w:tcPr>
          <w:p w14:paraId="200DA9FE" w14:textId="65296AF9" w:rsidR="00571B6F" w:rsidRPr="006B1AE2" w:rsidRDefault="00571B6F" w:rsidP="00B93025">
            <w:pPr>
              <w:jc w:val="both"/>
            </w:pPr>
            <w:r w:rsidRPr="00571B6F">
              <w:t>Įgyvendinimo architektūros modelio alternatyvos</w:t>
            </w:r>
          </w:p>
        </w:tc>
        <w:tc>
          <w:tcPr>
            <w:tcW w:w="5954" w:type="dxa"/>
            <w:tcBorders>
              <w:bottom w:val="single" w:sz="4" w:space="0" w:color="auto"/>
              <w:right w:val="single" w:sz="4" w:space="0" w:color="auto"/>
            </w:tcBorders>
          </w:tcPr>
          <w:p w14:paraId="473F485E" w14:textId="1445A702" w:rsidR="00571B6F" w:rsidRPr="006B1AE2" w:rsidRDefault="008A37D1" w:rsidP="00B93025">
            <w:pPr>
              <w:jc w:val="both"/>
            </w:pPr>
            <w:r>
              <w:t xml:space="preserve">5.1. </w:t>
            </w:r>
            <w:r w:rsidR="00C1645B" w:rsidRPr="00C1645B">
              <w:t>Parengti siūlom</w:t>
            </w:r>
            <w:r>
              <w:t>ą</w:t>
            </w:r>
            <w:r w:rsidR="00C1645B" w:rsidRPr="00C1645B">
              <w:t xml:space="preserve"> EUDIW įgyvendinimo architektūros modelio alternatyv</w:t>
            </w:r>
            <w:r>
              <w:t>ą</w:t>
            </w:r>
            <w:r w:rsidR="00C1645B" w:rsidRPr="00C1645B">
              <w:t>, apibrėžiant IT sprendimų ir duomenų mainų</w:t>
            </w:r>
            <w:r w:rsidR="00C1645B">
              <w:t xml:space="preserve"> tarpvalstybinį modelį</w:t>
            </w:r>
          </w:p>
        </w:tc>
        <w:tc>
          <w:tcPr>
            <w:tcW w:w="1559" w:type="dxa"/>
            <w:vMerge/>
            <w:tcBorders>
              <w:left w:val="single" w:sz="4" w:space="0" w:color="auto"/>
            </w:tcBorders>
          </w:tcPr>
          <w:p w14:paraId="61C828D8" w14:textId="62CEF630" w:rsidR="00571B6F" w:rsidRPr="006B1AE2" w:rsidRDefault="00571B6F" w:rsidP="00571B6F"/>
        </w:tc>
      </w:tr>
      <w:tr w:rsidR="00571B6F" w:rsidRPr="006B1AE2" w14:paraId="6A114CD7" w14:textId="77777777" w:rsidTr="00307560">
        <w:trPr>
          <w:trHeight w:val="660"/>
        </w:trPr>
        <w:tc>
          <w:tcPr>
            <w:tcW w:w="562" w:type="dxa"/>
            <w:vMerge/>
          </w:tcPr>
          <w:p w14:paraId="02217821" w14:textId="77777777" w:rsidR="00571B6F" w:rsidRDefault="00571B6F" w:rsidP="00571B6F"/>
        </w:tc>
        <w:tc>
          <w:tcPr>
            <w:tcW w:w="1701" w:type="dxa"/>
            <w:vMerge/>
          </w:tcPr>
          <w:p w14:paraId="590A399B" w14:textId="77777777" w:rsidR="00571B6F" w:rsidRPr="00571B6F" w:rsidRDefault="00571B6F" w:rsidP="00B93025">
            <w:pPr>
              <w:jc w:val="both"/>
            </w:pPr>
          </w:p>
        </w:tc>
        <w:tc>
          <w:tcPr>
            <w:tcW w:w="5954" w:type="dxa"/>
            <w:tcBorders>
              <w:top w:val="single" w:sz="4" w:space="0" w:color="auto"/>
              <w:right w:val="single" w:sz="4" w:space="0" w:color="auto"/>
            </w:tcBorders>
          </w:tcPr>
          <w:p w14:paraId="7850C690" w14:textId="29D6BC5D" w:rsidR="00571B6F" w:rsidRPr="006B1AE2" w:rsidRDefault="00682908" w:rsidP="00B93025">
            <w:pPr>
              <w:jc w:val="both"/>
            </w:pPr>
            <w:r>
              <w:t xml:space="preserve">5.2. </w:t>
            </w:r>
            <w:bookmarkStart w:id="1" w:name="_Hlk197430016"/>
            <w:r w:rsidRPr="00682908">
              <w:t>Įvertinti ir palyginti įgyvendinimo alternatyvas ekonominės naudos ir kaštų įverčiais</w:t>
            </w:r>
            <w:r>
              <w:t>.</w:t>
            </w:r>
            <w:bookmarkEnd w:id="1"/>
          </w:p>
        </w:tc>
        <w:tc>
          <w:tcPr>
            <w:tcW w:w="1559" w:type="dxa"/>
            <w:vMerge/>
            <w:tcBorders>
              <w:left w:val="single" w:sz="4" w:space="0" w:color="auto"/>
            </w:tcBorders>
          </w:tcPr>
          <w:p w14:paraId="4DDE73E7" w14:textId="77777777" w:rsidR="00571B6F" w:rsidRPr="006B1AE2" w:rsidRDefault="00571B6F" w:rsidP="00571B6F"/>
        </w:tc>
      </w:tr>
      <w:tr w:rsidR="00444A91" w:rsidRPr="006B1AE2" w14:paraId="0B88D2C9" w14:textId="77777777" w:rsidTr="00307560">
        <w:trPr>
          <w:trHeight w:val="620"/>
        </w:trPr>
        <w:tc>
          <w:tcPr>
            <w:tcW w:w="562" w:type="dxa"/>
            <w:vMerge w:val="restart"/>
          </w:tcPr>
          <w:p w14:paraId="184B3CEC" w14:textId="0FEB3D0A" w:rsidR="00444A91" w:rsidRPr="006B1AE2" w:rsidRDefault="00682908" w:rsidP="00571B6F">
            <w:r>
              <w:t>6</w:t>
            </w:r>
            <w:r w:rsidR="00444A91">
              <w:t>.</w:t>
            </w:r>
          </w:p>
        </w:tc>
        <w:tc>
          <w:tcPr>
            <w:tcW w:w="1701" w:type="dxa"/>
            <w:vMerge w:val="restart"/>
          </w:tcPr>
          <w:p w14:paraId="196CD92B" w14:textId="77777777" w:rsidR="00444A91" w:rsidRPr="006B1AE2" w:rsidRDefault="00444A91" w:rsidP="00B93025">
            <w:pPr>
              <w:jc w:val="both"/>
            </w:pPr>
            <w:r w:rsidRPr="006B1AE2">
              <w:t>Įgyvendinimo plano ir biudžeto parengimas</w:t>
            </w:r>
          </w:p>
        </w:tc>
        <w:tc>
          <w:tcPr>
            <w:tcW w:w="5954" w:type="dxa"/>
            <w:tcBorders>
              <w:right w:val="single" w:sz="4" w:space="0" w:color="auto"/>
            </w:tcBorders>
          </w:tcPr>
          <w:p w14:paraId="7FD3F945" w14:textId="0EC18B76" w:rsidR="00444A91" w:rsidRPr="006B1AE2" w:rsidRDefault="00682908" w:rsidP="00B93025">
            <w:pPr>
              <w:jc w:val="both"/>
            </w:pPr>
            <w:r>
              <w:t xml:space="preserve">6.1. </w:t>
            </w:r>
            <w:r w:rsidR="00444A91" w:rsidRPr="006B1AE2">
              <w:t>Parengti išsamų įgyvendinimo planą, įtraukiant veiksmų eigą, terminus, atsakomybės pasiskirstymą tarp EUDIW ekosistemos dalyvių bei reikalingus išteklius, ir pristatyti planą viešose konsultacijose su viešojo ir privataus sektoriaus atstovais.</w:t>
            </w:r>
          </w:p>
        </w:tc>
        <w:tc>
          <w:tcPr>
            <w:tcW w:w="1559" w:type="dxa"/>
            <w:vMerge/>
            <w:tcBorders>
              <w:left w:val="single" w:sz="4" w:space="0" w:color="auto"/>
            </w:tcBorders>
          </w:tcPr>
          <w:p w14:paraId="020EC42E" w14:textId="77777777" w:rsidR="00444A91" w:rsidRPr="006B1AE2" w:rsidRDefault="00444A91" w:rsidP="00571B6F"/>
        </w:tc>
      </w:tr>
      <w:tr w:rsidR="00444A91" w:rsidRPr="006B1AE2" w14:paraId="0E9EAEAC" w14:textId="77777777" w:rsidTr="00307560">
        <w:trPr>
          <w:trHeight w:val="620"/>
        </w:trPr>
        <w:tc>
          <w:tcPr>
            <w:tcW w:w="562" w:type="dxa"/>
            <w:vMerge/>
          </w:tcPr>
          <w:p w14:paraId="1B0B13BC" w14:textId="77777777" w:rsidR="00444A91" w:rsidRPr="006B1AE2" w:rsidRDefault="00444A91" w:rsidP="00571B6F"/>
        </w:tc>
        <w:tc>
          <w:tcPr>
            <w:tcW w:w="1701" w:type="dxa"/>
            <w:vMerge/>
          </w:tcPr>
          <w:p w14:paraId="1300CBF0" w14:textId="77777777" w:rsidR="00444A91" w:rsidRPr="006B1AE2" w:rsidRDefault="00444A91" w:rsidP="00B93025">
            <w:pPr>
              <w:jc w:val="both"/>
            </w:pPr>
          </w:p>
        </w:tc>
        <w:tc>
          <w:tcPr>
            <w:tcW w:w="5954" w:type="dxa"/>
            <w:tcBorders>
              <w:right w:val="single" w:sz="4" w:space="0" w:color="auto"/>
            </w:tcBorders>
          </w:tcPr>
          <w:p w14:paraId="209C66B5" w14:textId="4722ED99" w:rsidR="00444A91" w:rsidRPr="006B1AE2" w:rsidRDefault="00682908" w:rsidP="00B93025">
            <w:pPr>
              <w:jc w:val="both"/>
            </w:pPr>
            <w:r>
              <w:t xml:space="preserve">6.2. </w:t>
            </w:r>
            <w:r w:rsidR="00444A91" w:rsidRPr="006B1AE2">
              <w:t>Parengti išsamų įgyvendinimo biudžetą, įvertinant techninius, kibernetinio saugumo sprendimų, organizacinius ir teisės aktų pakeitimus bei išteklius, reikalingus sistemos palaikymui.</w:t>
            </w:r>
          </w:p>
        </w:tc>
        <w:tc>
          <w:tcPr>
            <w:tcW w:w="1559" w:type="dxa"/>
            <w:vMerge/>
            <w:tcBorders>
              <w:left w:val="single" w:sz="4" w:space="0" w:color="auto"/>
            </w:tcBorders>
          </w:tcPr>
          <w:p w14:paraId="2B1CE58A" w14:textId="77777777" w:rsidR="00444A91" w:rsidRPr="006B1AE2" w:rsidRDefault="00444A91" w:rsidP="00571B6F"/>
        </w:tc>
      </w:tr>
      <w:tr w:rsidR="00444A91" w:rsidRPr="006B1AE2" w14:paraId="3C9854D6" w14:textId="77777777" w:rsidTr="00307560">
        <w:trPr>
          <w:trHeight w:val="620"/>
        </w:trPr>
        <w:tc>
          <w:tcPr>
            <w:tcW w:w="562" w:type="dxa"/>
            <w:vMerge w:val="restart"/>
          </w:tcPr>
          <w:p w14:paraId="789FBBE8" w14:textId="39DACC18" w:rsidR="00444A91" w:rsidRPr="006B1AE2" w:rsidRDefault="00682908" w:rsidP="00571B6F">
            <w:r>
              <w:t>7</w:t>
            </w:r>
            <w:r w:rsidR="00444A91">
              <w:t>.</w:t>
            </w:r>
          </w:p>
        </w:tc>
        <w:tc>
          <w:tcPr>
            <w:tcW w:w="1701" w:type="dxa"/>
            <w:vMerge w:val="restart"/>
          </w:tcPr>
          <w:p w14:paraId="22F8BD6A" w14:textId="77777777" w:rsidR="00444A91" w:rsidRPr="006B1AE2" w:rsidRDefault="00444A91" w:rsidP="00B93025">
            <w:pPr>
              <w:jc w:val="both"/>
            </w:pPr>
            <w:r w:rsidRPr="006B1AE2">
              <w:t>Rizikų vertinimas</w:t>
            </w:r>
          </w:p>
        </w:tc>
        <w:tc>
          <w:tcPr>
            <w:tcW w:w="5954" w:type="dxa"/>
            <w:tcBorders>
              <w:right w:val="single" w:sz="4" w:space="0" w:color="auto"/>
            </w:tcBorders>
          </w:tcPr>
          <w:p w14:paraId="3B874C9F" w14:textId="5692DAB6" w:rsidR="00444A91" w:rsidRPr="006B1AE2" w:rsidRDefault="00682908" w:rsidP="00B93025">
            <w:pPr>
              <w:jc w:val="both"/>
            </w:pPr>
            <w:r>
              <w:t xml:space="preserve">7.1. </w:t>
            </w:r>
            <w:r w:rsidR="00444A91" w:rsidRPr="006B1AE2">
              <w:t>Įvertinti galimas technines, teisines ir organizacines rizikas EUDIW įgyvendinimo procese.</w:t>
            </w:r>
          </w:p>
        </w:tc>
        <w:tc>
          <w:tcPr>
            <w:tcW w:w="1559" w:type="dxa"/>
            <w:vMerge/>
            <w:tcBorders>
              <w:left w:val="single" w:sz="4" w:space="0" w:color="auto"/>
            </w:tcBorders>
          </w:tcPr>
          <w:p w14:paraId="509343AE" w14:textId="77777777" w:rsidR="00444A91" w:rsidRPr="006B1AE2" w:rsidRDefault="00444A91" w:rsidP="00571B6F"/>
        </w:tc>
      </w:tr>
      <w:tr w:rsidR="00444A91" w:rsidRPr="006B1AE2" w14:paraId="2F9D0C15" w14:textId="77777777" w:rsidTr="00307560">
        <w:trPr>
          <w:trHeight w:val="620"/>
        </w:trPr>
        <w:tc>
          <w:tcPr>
            <w:tcW w:w="562" w:type="dxa"/>
            <w:vMerge/>
          </w:tcPr>
          <w:p w14:paraId="3AFB5B6D" w14:textId="77777777" w:rsidR="00444A91" w:rsidRPr="006B1AE2" w:rsidRDefault="00444A91" w:rsidP="00571B6F"/>
        </w:tc>
        <w:tc>
          <w:tcPr>
            <w:tcW w:w="1701" w:type="dxa"/>
            <w:vMerge/>
          </w:tcPr>
          <w:p w14:paraId="57EF3B97" w14:textId="77777777" w:rsidR="00444A91" w:rsidRPr="006B1AE2" w:rsidRDefault="00444A91" w:rsidP="00B93025">
            <w:pPr>
              <w:jc w:val="both"/>
            </w:pPr>
          </w:p>
        </w:tc>
        <w:tc>
          <w:tcPr>
            <w:tcW w:w="5954" w:type="dxa"/>
            <w:tcBorders>
              <w:right w:val="single" w:sz="4" w:space="0" w:color="auto"/>
            </w:tcBorders>
          </w:tcPr>
          <w:p w14:paraId="0FCDE547" w14:textId="5F59FF97" w:rsidR="00444A91" w:rsidRPr="006B1AE2" w:rsidRDefault="00682908" w:rsidP="00B93025">
            <w:pPr>
              <w:jc w:val="both"/>
            </w:pPr>
            <w:r>
              <w:t xml:space="preserve">7.2. </w:t>
            </w:r>
            <w:r w:rsidR="00444A91" w:rsidRPr="006B1AE2">
              <w:t>Parengti galimų rizikų valdymo planą, siūlant sprendimus, kaip šios rizikos galėtų būti minimizuojamos.</w:t>
            </w:r>
          </w:p>
        </w:tc>
        <w:tc>
          <w:tcPr>
            <w:tcW w:w="1559" w:type="dxa"/>
            <w:vMerge/>
            <w:tcBorders>
              <w:left w:val="single" w:sz="4" w:space="0" w:color="auto"/>
            </w:tcBorders>
          </w:tcPr>
          <w:p w14:paraId="68E18AF7" w14:textId="77777777" w:rsidR="00444A91" w:rsidRPr="006B1AE2" w:rsidRDefault="00444A91" w:rsidP="00571B6F"/>
        </w:tc>
      </w:tr>
    </w:tbl>
    <w:p w14:paraId="36E5601D" w14:textId="77777777" w:rsidR="006B1AE2" w:rsidRPr="006B1AE2" w:rsidRDefault="006B1AE2" w:rsidP="006B1AE2"/>
    <w:p w14:paraId="099A6671" w14:textId="5C031398" w:rsidR="00767687" w:rsidRDefault="00B93025" w:rsidP="00B93025">
      <w:pPr>
        <w:pStyle w:val="ListParagraph"/>
        <w:numPr>
          <w:ilvl w:val="1"/>
          <w:numId w:val="9"/>
        </w:numPr>
        <w:jc w:val="both"/>
      </w:pPr>
      <w:r>
        <w:t xml:space="preserve"> </w:t>
      </w:r>
      <w:r w:rsidR="006B1AE2" w:rsidRPr="006B1AE2">
        <w:t>Paslaugų teikėjas visą statistinę ir lyginamąją informaciją, kurią reikia pateikti Studijoje, turi pateikti vizualiai, visos diagramos ir kitos schemos turi būti pateiktos ir papildomai, atskirais failais, redaguojamu formatu (MS Visio, PowerPoint arba atviro kodo PĮ, kuri būtu suderinama su MS Office);</w:t>
      </w:r>
    </w:p>
    <w:p w14:paraId="526F397A" w14:textId="7D138FFF" w:rsidR="00767687" w:rsidRDefault="00B93025" w:rsidP="00B93025">
      <w:pPr>
        <w:pStyle w:val="ListParagraph"/>
        <w:numPr>
          <w:ilvl w:val="1"/>
          <w:numId w:val="9"/>
        </w:numPr>
        <w:jc w:val="both"/>
      </w:pPr>
      <w:r>
        <w:t xml:space="preserve"> </w:t>
      </w:r>
      <w:r w:rsidR="006B1AE2" w:rsidRPr="006B1AE2">
        <w:t>Paslaugų teikėjas turi užtikrinti optimalią Studijos dokumento apimtį, kuri įgalintų įgyvendinti lentelėje Nr. 1 pateiktus Studijos uždavinius ir uždavinių detalizaciją. Studijos turinio negali sudaryti perrašomi ar atkartojami (pridedami) Perkančiosios organizacijos pateikti dokumentai. Esant poreikiui, Paslaugų teikėjas turi apsiriboti konkrečiomis nuorodomis į naudotus dokumentus, nurodant jų skyrius ir punktus (dokumentai gali būti pateikiami kaip papildomi priedai, tačiau nelaikomi Paslaugų teikėjo parengtu rezultatu);</w:t>
      </w:r>
    </w:p>
    <w:p w14:paraId="68813183" w14:textId="6CF64C0F" w:rsidR="006B1AE2" w:rsidRPr="006B1AE2" w:rsidRDefault="00B93025" w:rsidP="00B93025">
      <w:pPr>
        <w:pStyle w:val="ListParagraph"/>
        <w:numPr>
          <w:ilvl w:val="1"/>
          <w:numId w:val="9"/>
        </w:numPr>
        <w:spacing w:after="0" w:line="240" w:lineRule="auto"/>
        <w:jc w:val="both"/>
      </w:pPr>
      <w:r>
        <w:t xml:space="preserve"> </w:t>
      </w:r>
      <w:r w:rsidR="006B1AE2" w:rsidRPr="006B1AE2">
        <w:t>Paslaugų teikėjas, rengdamas Studiją, turi remtis patikimais informacijos šaltiniais, pateikti nuorodas į informacijos rinkinius ar tiriamuosius darbus.</w:t>
      </w:r>
    </w:p>
    <w:p w14:paraId="3F556C8B" w14:textId="77777777" w:rsidR="006B1AE2" w:rsidRPr="006B1AE2" w:rsidRDefault="006B1AE2" w:rsidP="00B93025">
      <w:pPr>
        <w:spacing w:after="0" w:line="240" w:lineRule="auto"/>
      </w:pPr>
    </w:p>
    <w:p w14:paraId="4B31F74C" w14:textId="105CE787" w:rsidR="006B1AE2" w:rsidRPr="00767687" w:rsidRDefault="006B1AE2" w:rsidP="00B93025">
      <w:pPr>
        <w:pStyle w:val="ListParagraph"/>
        <w:numPr>
          <w:ilvl w:val="0"/>
          <w:numId w:val="9"/>
        </w:numPr>
        <w:spacing w:after="0" w:line="240" w:lineRule="auto"/>
        <w:jc w:val="center"/>
        <w:rPr>
          <w:b/>
          <w:bCs/>
        </w:rPr>
      </w:pPr>
      <w:r w:rsidRPr="00767687">
        <w:rPr>
          <w:b/>
          <w:bCs/>
        </w:rPr>
        <w:t>REIKALAVIMAI PASIRENGIMUI IR DARBO ORGANIZAVIMUI</w:t>
      </w:r>
    </w:p>
    <w:p w14:paraId="5174FEA3" w14:textId="77777777" w:rsidR="00767687" w:rsidRPr="006B1AE2" w:rsidRDefault="00767687" w:rsidP="00B93025">
      <w:pPr>
        <w:spacing w:after="0" w:line="240" w:lineRule="auto"/>
      </w:pPr>
    </w:p>
    <w:p w14:paraId="56E9008A" w14:textId="77777777" w:rsidR="006B1AE2" w:rsidRPr="005A7DC6" w:rsidRDefault="006B1AE2" w:rsidP="00B93025">
      <w:pPr>
        <w:pStyle w:val="ListParagraph"/>
        <w:numPr>
          <w:ilvl w:val="1"/>
          <w:numId w:val="44"/>
        </w:numPr>
        <w:jc w:val="both"/>
      </w:pPr>
      <w:r w:rsidRPr="005A7DC6">
        <w:t>Ne vėliau kaip per 5 d. d. nuo Paslaugų teikimo sutarties įsigaliojimo dienos, Paslaugų teikėjas turi parengti detalų visų etapų darbų planą su trukmėmis ir organizuoti Inicijavimo nuotolinį susitikimą su Perkančiosios organizacijos atstovais šiam planui aptarti.</w:t>
      </w:r>
    </w:p>
    <w:p w14:paraId="43C6977B" w14:textId="63C91AF3" w:rsidR="006B1AE2" w:rsidRPr="006B1AE2" w:rsidRDefault="006B1AE2" w:rsidP="00B93025">
      <w:pPr>
        <w:pStyle w:val="ListParagraph"/>
        <w:numPr>
          <w:ilvl w:val="1"/>
          <w:numId w:val="44"/>
        </w:numPr>
        <w:jc w:val="both"/>
      </w:pPr>
      <w:r w:rsidRPr="006B1AE2">
        <w:t>Paslaugų teikimo planas turi apimti visas šioje Techninėje specifikacijoje apibrėžtas paslaugas, analizės metodų, kuriuos siūlo taikyti Paslaugų teikėjas trumpą aprašymą, siūlomų metodų pagrindimą, rezultatų derinimo ir komunikavimo tvarką, kokybės užtikrinimo metodus, Studijai parengti aktualių suinteresuotų šalių įtraukimo būdus.</w:t>
      </w:r>
    </w:p>
    <w:p w14:paraId="34AE325C" w14:textId="30A379B9" w:rsidR="006B1AE2" w:rsidRPr="006B1AE2" w:rsidRDefault="006B1AE2" w:rsidP="00B93025">
      <w:pPr>
        <w:pStyle w:val="ListParagraph"/>
        <w:numPr>
          <w:ilvl w:val="1"/>
          <w:numId w:val="44"/>
        </w:numPr>
        <w:jc w:val="both"/>
      </w:pPr>
      <w:r w:rsidRPr="006B1AE2">
        <w:t xml:space="preserve">Inicijavimo susitikimą ir kitus paslaugų teikimo metu suplanuotus susitikimus organizuoja Paslaugų teikėjas, suderinęs su Valstybės skaitmeninių sprendimų agentūros paskirtu už sutarties vykdymą atsakingu asmeniu. Paslaugų teikėjas visų susitikimų metu turi užtikrinti, kad jo interneto ryšys bus kokybiškas, ekrane rodomos skaidrės įskaitomos ir aiškiai matomos. Paslaugų teikėjas privalo užtikrinti „MS </w:t>
      </w:r>
      <w:proofErr w:type="spellStart"/>
      <w:r w:rsidRPr="006B1AE2">
        <w:t>Teams</w:t>
      </w:r>
      <w:proofErr w:type="spellEnd"/>
      <w:r w:rsidRPr="006B1AE2">
        <w:t>“, „</w:t>
      </w:r>
      <w:proofErr w:type="spellStart"/>
      <w:r w:rsidRPr="006B1AE2">
        <w:t>Zoom</w:t>
      </w:r>
      <w:proofErr w:type="spellEnd"/>
      <w:r w:rsidRPr="006B1AE2">
        <w:t>“ ar kitos analogiškos programinės įrangos „</w:t>
      </w:r>
      <w:proofErr w:type="spellStart"/>
      <w:r w:rsidRPr="006B1AE2">
        <w:t>premium</w:t>
      </w:r>
      <w:proofErr w:type="spellEnd"/>
      <w:r w:rsidRPr="006B1AE2">
        <w:t>“ versiją, esant poreikiui, kad galėtų prisijungti visi susitikimo dalyviai.</w:t>
      </w:r>
    </w:p>
    <w:p w14:paraId="19CEC3BF" w14:textId="77777777" w:rsidR="006B1AE2" w:rsidRPr="006B1AE2" w:rsidRDefault="006B1AE2" w:rsidP="00B93025">
      <w:pPr>
        <w:pStyle w:val="ListParagraph"/>
        <w:numPr>
          <w:ilvl w:val="1"/>
          <w:numId w:val="44"/>
        </w:numPr>
        <w:jc w:val="both"/>
      </w:pPr>
      <w:r w:rsidRPr="006B1AE2">
        <w:t>Paslaugų teikėjas atsakingas už susitikimui būtinų jo atstovų dalyvavimą, susitikimo moderavimą ir komandos narių aktyvų įsitraukimą. Susitikimai organizuojami nuotoliniu būdu, tačiau, esant poreikiui, iš anksto suderinus, gali būti organizuojami ir gyvi susitikimai Valstybės skaitmeninių sprendimų agentūroje. Visų susitikimų protokolus rengia Paslaugų teikėjas, pagal iš anksto suderintą formą.</w:t>
      </w:r>
    </w:p>
    <w:p w14:paraId="2C384570" w14:textId="5F0979DA" w:rsidR="006B1AE2" w:rsidRPr="005A7DC6" w:rsidRDefault="006B1AE2" w:rsidP="00B93025">
      <w:pPr>
        <w:pStyle w:val="ListParagraph"/>
        <w:numPr>
          <w:ilvl w:val="1"/>
          <w:numId w:val="44"/>
        </w:numPr>
        <w:jc w:val="both"/>
      </w:pPr>
      <w:r w:rsidRPr="005A7DC6">
        <w:t>Ne vėliau kaip per 10 d. d. nuo Paslaugų teikimo sutarties įsigaliojimo dienos, organizuojamas susitikimas dalyvaujant ir suinteresuotoms šalims, kurio metu Paslaugų teikėjas pristato Studijos rengimo planą, suinteresuotųjų šalių įsitraukimo poreikius.</w:t>
      </w:r>
    </w:p>
    <w:p w14:paraId="05CCA55E" w14:textId="77777777" w:rsidR="006B1AE2" w:rsidRPr="006B1AE2" w:rsidRDefault="006B1AE2" w:rsidP="00B93025">
      <w:pPr>
        <w:pStyle w:val="ListParagraph"/>
        <w:numPr>
          <w:ilvl w:val="1"/>
          <w:numId w:val="44"/>
        </w:numPr>
        <w:jc w:val="both"/>
      </w:pPr>
      <w:r w:rsidRPr="006B1AE2">
        <w:t>Suinteresuotų šalių įtraukimas gali būti vykdomas interviu ir (ar) organizuojant diskusijas. Diskusijos organizuojamos nuotoliniu būdu arba gyvai. Tuo atveju, jei paslaugų teikėjo gyvai organizuojamose diskusijose nedalyvauja Valstybės skaitmeninių sprendimų agentūros atstovai, Paslaugų teikėjas turi pasirūpinti diskusijos pravedimui reikalingomis patalpomis ir priemonėmis. Tokių susitikimų protokolai turi būti pateikti VSSA.</w:t>
      </w:r>
    </w:p>
    <w:p w14:paraId="16F0CC29" w14:textId="77777777" w:rsidR="006B1AE2" w:rsidRPr="006B1AE2" w:rsidRDefault="006B1AE2" w:rsidP="00B93025">
      <w:pPr>
        <w:pStyle w:val="ListParagraph"/>
        <w:numPr>
          <w:ilvl w:val="1"/>
          <w:numId w:val="44"/>
        </w:numPr>
        <w:jc w:val="both"/>
      </w:pPr>
      <w:r w:rsidRPr="006B1AE2">
        <w:t>Darbiniai susitikimai organizuojami ne rečiau kaip kartą per dvi savaites. Jų metu aptariamas darbų plano vykdymas, ką planuojama padaryti per ateinančias dvi savaites, susitikimų su suinteresuotomis šalimis grafikai, galimi klausimai, informacijos poreikiai, aptariamos kylančios problemos ir rizikos bei sprendžiama kaip jas suvaldyti.</w:t>
      </w:r>
    </w:p>
    <w:p w14:paraId="2ED4FF89" w14:textId="09949C0E" w:rsidR="006B1AE2" w:rsidRPr="006B1AE2" w:rsidRDefault="006B1AE2" w:rsidP="00B93025">
      <w:pPr>
        <w:pStyle w:val="ListParagraph"/>
        <w:numPr>
          <w:ilvl w:val="1"/>
          <w:numId w:val="44"/>
        </w:numPr>
        <w:jc w:val="both"/>
      </w:pPr>
      <w:r w:rsidRPr="006B1AE2">
        <w:t xml:space="preserve">Paslaugų teikėjas turi užtikrinti nenutrūkstamą Paslaugų teikimo sutarties vykdymą ir aktyviai bendradarbiauti su Perkančiosios organizacijos paskirtais darbuotojais: pateikti jiems reikalingą informaciją, inicijuoti, organizuoti ir </w:t>
      </w:r>
      <w:proofErr w:type="spellStart"/>
      <w:r w:rsidRPr="006B1AE2">
        <w:t>moderuoti</w:t>
      </w:r>
      <w:proofErr w:type="spellEnd"/>
      <w:r w:rsidRPr="006B1AE2">
        <w:t xml:space="preserve"> bendrus susitikimus, operatyviai atsakyti į klausimus žodžiu ir raštu.</w:t>
      </w:r>
    </w:p>
    <w:p w14:paraId="68F7E7AA" w14:textId="77777777" w:rsidR="006B1AE2" w:rsidRPr="006B1AE2" w:rsidRDefault="006B1AE2" w:rsidP="00B93025">
      <w:pPr>
        <w:spacing w:after="0" w:line="240" w:lineRule="auto"/>
        <w:ind w:firstLine="426"/>
      </w:pPr>
    </w:p>
    <w:p w14:paraId="097F633E" w14:textId="4F92577F" w:rsidR="006B1AE2" w:rsidRDefault="006B1AE2" w:rsidP="00B93025">
      <w:pPr>
        <w:pStyle w:val="ListParagraph"/>
        <w:numPr>
          <w:ilvl w:val="0"/>
          <w:numId w:val="9"/>
        </w:numPr>
        <w:spacing w:after="0" w:line="240" w:lineRule="auto"/>
        <w:jc w:val="center"/>
        <w:rPr>
          <w:b/>
          <w:bCs/>
        </w:rPr>
      </w:pPr>
      <w:r w:rsidRPr="00767687">
        <w:rPr>
          <w:b/>
          <w:bCs/>
        </w:rPr>
        <w:t>REZULTATŲ PERŽIŪRA IR TVIRTINIMAS</w:t>
      </w:r>
    </w:p>
    <w:p w14:paraId="1C1CBE54" w14:textId="77777777" w:rsidR="00767687" w:rsidRPr="00B93025" w:rsidRDefault="00767687" w:rsidP="00B93025">
      <w:pPr>
        <w:spacing w:after="0" w:line="240" w:lineRule="auto"/>
        <w:ind w:left="360"/>
      </w:pPr>
    </w:p>
    <w:p w14:paraId="770EE603" w14:textId="2E7BE18D" w:rsidR="006B1AE2" w:rsidRPr="006B1AE2" w:rsidRDefault="006B1AE2" w:rsidP="00B93025">
      <w:pPr>
        <w:pStyle w:val="ListParagraph"/>
        <w:numPr>
          <w:ilvl w:val="1"/>
          <w:numId w:val="46"/>
        </w:numPr>
        <w:jc w:val="both"/>
      </w:pPr>
      <w:r w:rsidRPr="006B1AE2">
        <w:t>Visų rezultatų forma, struktūra ir preliminarus turinys turi būti iš anksto suderinami su Perkančiąja organizacija.</w:t>
      </w:r>
    </w:p>
    <w:p w14:paraId="01E1DED8" w14:textId="77777777" w:rsidR="005A7DC6" w:rsidRDefault="006B1AE2" w:rsidP="005A7DC6">
      <w:pPr>
        <w:pStyle w:val="ListParagraph"/>
        <w:numPr>
          <w:ilvl w:val="1"/>
          <w:numId w:val="46"/>
        </w:numPr>
        <w:jc w:val="both"/>
      </w:pPr>
      <w:r w:rsidRPr="006B1AE2">
        <w:t>Studijos darbai atliekami ir už juos atsiskaitoma trimis etapais.</w:t>
      </w:r>
    </w:p>
    <w:p w14:paraId="7F712FE3" w14:textId="298BB2FA" w:rsidR="006B1AE2" w:rsidRPr="005A7DC6" w:rsidRDefault="006B1AE2" w:rsidP="005A7DC6">
      <w:pPr>
        <w:pStyle w:val="ListParagraph"/>
        <w:numPr>
          <w:ilvl w:val="1"/>
          <w:numId w:val="46"/>
        </w:numPr>
        <w:jc w:val="both"/>
      </w:pPr>
      <w:r w:rsidRPr="005A7DC6">
        <w:t xml:space="preserve">Studija turi būti rengiama ir derinama dalimis, atsižvelgiant į lentelėje Nr. 1 pateiktus etapus ir jų uždavinius. </w:t>
      </w:r>
      <w:r w:rsidR="00A334F2" w:rsidRPr="005A7DC6">
        <w:t xml:space="preserve">Vadovaujantis rekomenduojama trukme savaitėmis kiekvieno etapo įgyvendinimui, tačiau I ir II etapų darbai turi būti pabaigti ir priimti (pasirašytas </w:t>
      </w:r>
      <w:r w:rsidR="00AE766B" w:rsidRPr="005A7DC6">
        <w:t>paslaugų</w:t>
      </w:r>
      <w:r w:rsidR="00A334F2" w:rsidRPr="005A7DC6">
        <w:t xml:space="preserve"> perdavimo–priėmimo aktas) ne vėliau kaip </w:t>
      </w:r>
      <w:r w:rsidR="00A334F2" w:rsidRPr="005A7DC6">
        <w:rPr>
          <w:b/>
          <w:bCs/>
        </w:rPr>
        <w:t xml:space="preserve">iki 2025 m. </w:t>
      </w:r>
      <w:r w:rsidR="0012065C" w:rsidRPr="005A7DC6">
        <w:rPr>
          <w:b/>
          <w:bCs/>
        </w:rPr>
        <w:t>gruodžio 1</w:t>
      </w:r>
      <w:r w:rsidR="00A334F2" w:rsidRPr="005A7DC6">
        <w:rPr>
          <w:b/>
          <w:bCs/>
        </w:rPr>
        <w:t xml:space="preserve"> d., </w:t>
      </w:r>
      <w:r w:rsidR="00A334F2" w:rsidRPr="005A7DC6">
        <w:t xml:space="preserve">o III etapo darbai - ne </w:t>
      </w:r>
      <w:r w:rsidR="004377DD" w:rsidRPr="005A7DC6">
        <w:t>vėliau</w:t>
      </w:r>
      <w:r w:rsidR="00A334F2" w:rsidRPr="005A7DC6">
        <w:t xml:space="preserve"> kaip </w:t>
      </w:r>
      <w:r w:rsidR="004377DD" w:rsidRPr="005A7DC6">
        <w:rPr>
          <w:b/>
          <w:bCs/>
        </w:rPr>
        <w:t>iki</w:t>
      </w:r>
      <w:r w:rsidR="00A334F2" w:rsidRPr="005A7DC6">
        <w:rPr>
          <w:b/>
          <w:bCs/>
        </w:rPr>
        <w:t xml:space="preserve"> 2026 m. </w:t>
      </w:r>
      <w:r w:rsidR="004377DD" w:rsidRPr="005A7DC6">
        <w:rPr>
          <w:b/>
          <w:bCs/>
        </w:rPr>
        <w:t>kovo</w:t>
      </w:r>
      <w:r w:rsidR="00A334F2" w:rsidRPr="005A7DC6">
        <w:rPr>
          <w:b/>
          <w:bCs/>
        </w:rPr>
        <w:t xml:space="preserve"> </w:t>
      </w:r>
      <w:r w:rsidR="004377DD" w:rsidRPr="005A7DC6">
        <w:rPr>
          <w:b/>
          <w:bCs/>
        </w:rPr>
        <w:t>1</w:t>
      </w:r>
      <w:r w:rsidR="00A334F2" w:rsidRPr="005A7DC6">
        <w:rPr>
          <w:b/>
          <w:bCs/>
        </w:rPr>
        <w:t xml:space="preserve"> d.</w:t>
      </w:r>
    </w:p>
    <w:p w14:paraId="34471BCA" w14:textId="1A8D95FB" w:rsidR="006B1AE2" w:rsidRPr="006B1AE2" w:rsidRDefault="006B1AE2" w:rsidP="00B93025">
      <w:pPr>
        <w:pStyle w:val="ListParagraph"/>
        <w:numPr>
          <w:ilvl w:val="1"/>
          <w:numId w:val="46"/>
        </w:numPr>
        <w:jc w:val="both"/>
      </w:pPr>
      <w:r w:rsidRPr="006B1AE2">
        <w:t>Kiekvienam Studijos etapo rezultatui pristatyti organizuojami susitikimai (esant poreikiui grupinės diskusijos), kurių metu pristatomi tarpiniai rezultatai, esminiai aspektai ir sutariama dėl pastabų pateikimo terminų ir (ar) tolimesnių veiksmų, pateikiamų teiginių, įžvalgų ir siūlomų krypčių. Pristatymo forma suderinama prieš susitikimą. Už pristatymo organizavimą atsakingas Paslaugų teikėjas.</w:t>
      </w:r>
    </w:p>
    <w:p w14:paraId="2701E5D5" w14:textId="5023E431" w:rsidR="006B1AE2" w:rsidRPr="006B1AE2" w:rsidRDefault="006B1AE2" w:rsidP="00B93025">
      <w:pPr>
        <w:pStyle w:val="ListParagraph"/>
        <w:numPr>
          <w:ilvl w:val="1"/>
          <w:numId w:val="46"/>
        </w:numPr>
        <w:jc w:val="both"/>
        <w:rPr>
          <w:lang w:eastAsia="ja-JP"/>
        </w:rPr>
      </w:pPr>
      <w:r w:rsidRPr="006B1AE2">
        <w:t>Pastabos dėl tarpinių Studijos rezultatų pateikiamos ne vėliau kaip per 5 darbo dienas. Pastabų pateikimo terminas gali būti koreguojamas atsižvelgiant į tarpinio rezultato apimtį. Paslaugų teikėjas ne vėliau kaip per 2 darbo dienas nuo pastabų gavimo dienos turi įvertinti pateiktas pastabas ir informuoti, kaip bus į jas atsižvelgta.</w:t>
      </w:r>
    </w:p>
    <w:p w14:paraId="0EDAE0DE" w14:textId="0BF61634" w:rsidR="006B1AE2" w:rsidRPr="006B1AE2" w:rsidRDefault="006B1AE2" w:rsidP="00B93025">
      <w:pPr>
        <w:pStyle w:val="ListParagraph"/>
        <w:numPr>
          <w:ilvl w:val="1"/>
          <w:numId w:val="46"/>
        </w:numPr>
        <w:jc w:val="both"/>
        <w:rPr>
          <w:lang w:eastAsia="ja-JP"/>
        </w:rPr>
      </w:pPr>
      <w:r w:rsidRPr="006B1AE2">
        <w:t>Anglų kalba turi būti pateikta kiekvieno Studijos uždavinio rezultatų santrauka.</w:t>
      </w:r>
    </w:p>
    <w:p w14:paraId="7DF158DF" w14:textId="6F5DEE72" w:rsidR="006B1AE2" w:rsidRPr="006B1AE2" w:rsidRDefault="006B1AE2" w:rsidP="00B93025">
      <w:pPr>
        <w:pStyle w:val="ListParagraph"/>
        <w:numPr>
          <w:ilvl w:val="1"/>
          <w:numId w:val="46"/>
        </w:numPr>
        <w:jc w:val="both"/>
      </w:pPr>
      <w:r w:rsidRPr="006B1AE2">
        <w:t>Jei derinant tarpinius rezultatus ir (ar) galutinį Studijos projektą nustatoma, kad Paslaugų teikėjas neatsižvelgia į esmines Perkančiosios organizacijos pastabas dėl dokumente esančių esminių loginių klaidų, duomenimis nepagrįstų teiginių ar išvadų ar rezultatas apsiriboja tik formaliu Perkančiosios organizacijos pateiktų dokumentų atkartojimu, abstrakčiais teiginiais, remiamasi nepatikrintais ir nepatikimais šaltiniais, naudojamasi šaltiniais pažeidžiant autorių teises, Perkančioji organizacija turi teisę nutraukti sutartį dėl netinkamos paslaugų kokybės.</w:t>
      </w:r>
    </w:p>
    <w:p w14:paraId="2EEB5401" w14:textId="01311E0E" w:rsidR="006B1AE2" w:rsidRPr="006B1AE2" w:rsidRDefault="006B1AE2" w:rsidP="00B93025">
      <w:pPr>
        <w:pStyle w:val="ListParagraph"/>
        <w:numPr>
          <w:ilvl w:val="1"/>
          <w:numId w:val="46"/>
        </w:numPr>
        <w:jc w:val="both"/>
      </w:pPr>
      <w:r w:rsidRPr="006B1AE2">
        <w:t>Jei Perkančioji organizacija nustato, kad ir patikslintoje Studijoje liko neatsižvelgta į daugiau kaip 10 esminių Perkančiosios organizacijos pastabų, arba Paslaugų teikėjas, atlikdamas tikslinimus, padarė naujų klaidų, Perkančioji organizacija paslaugų perdavimo-priėmimo akto nepasirašo.</w:t>
      </w:r>
    </w:p>
    <w:p w14:paraId="150280E9" w14:textId="77777777" w:rsidR="006B1AE2" w:rsidRPr="006B1AE2" w:rsidRDefault="006B1AE2" w:rsidP="00AE766B">
      <w:pPr>
        <w:pStyle w:val="ListParagraph"/>
        <w:numPr>
          <w:ilvl w:val="1"/>
          <w:numId w:val="46"/>
        </w:numPr>
        <w:spacing w:after="0" w:line="240" w:lineRule="auto"/>
        <w:jc w:val="both"/>
      </w:pPr>
      <w:r w:rsidRPr="006B1AE2">
        <w:t>Galutiniai tarpinių etapų studijos rezultatų variantai Perkančiajai organizacijai pateikiamas lietuvių kalba, o jos santrauka – lietuvių ir anglų kalbomis elektroninėje versijoje (</w:t>
      </w:r>
      <w:proofErr w:type="spellStart"/>
      <w:r w:rsidRPr="006B1AE2">
        <w:t>docx</w:t>
      </w:r>
      <w:proofErr w:type="spellEnd"/>
      <w:r w:rsidRPr="006B1AE2">
        <w:t xml:space="preserve">, </w:t>
      </w:r>
      <w:proofErr w:type="spellStart"/>
      <w:r w:rsidRPr="006B1AE2">
        <w:t>pdf</w:t>
      </w:r>
      <w:proofErr w:type="spellEnd"/>
      <w:r w:rsidRPr="006B1AE2">
        <w:t xml:space="preserve"> arba lygiaverčiu formatu). Taip pat lietuvių ir anglų kalbomis turi būti parengtas ir pateiktas studijos pristatymas.</w:t>
      </w:r>
    </w:p>
    <w:p w14:paraId="1C181641" w14:textId="77777777" w:rsidR="006B1AE2" w:rsidRPr="006B1AE2" w:rsidRDefault="006B1AE2" w:rsidP="00AE766B">
      <w:pPr>
        <w:spacing w:after="0" w:line="240" w:lineRule="auto"/>
        <w:rPr>
          <w:highlight w:val="yellow"/>
        </w:rPr>
      </w:pPr>
    </w:p>
    <w:p w14:paraId="631A8A83" w14:textId="3D431496" w:rsidR="006B1AE2" w:rsidRPr="00767687" w:rsidRDefault="006B1AE2" w:rsidP="00767687">
      <w:pPr>
        <w:jc w:val="center"/>
        <w:rPr>
          <w:b/>
          <w:bCs/>
        </w:rPr>
      </w:pPr>
      <w:r w:rsidRPr="00767687">
        <w:rPr>
          <w:b/>
          <w:bCs/>
        </w:rPr>
        <w:t>6. ATSISKAITYMAS IR REZULTATŲ PRIĖMIMAS</w:t>
      </w:r>
    </w:p>
    <w:p w14:paraId="3E8F4FE3" w14:textId="5AD2E368" w:rsidR="00767687" w:rsidRPr="00767687" w:rsidRDefault="006B1AE2" w:rsidP="00AE766B">
      <w:pPr>
        <w:pStyle w:val="ListParagraph"/>
        <w:numPr>
          <w:ilvl w:val="1"/>
          <w:numId w:val="48"/>
        </w:numPr>
        <w:jc w:val="both"/>
        <w:rPr>
          <w:b/>
          <w:bCs/>
        </w:rPr>
      </w:pPr>
      <w:r w:rsidRPr="00767687">
        <w:rPr>
          <w:b/>
          <w:bCs/>
        </w:rPr>
        <w:t>Dalinis atsiskaitymas už paslaugas vykdomas trimis etapais:</w:t>
      </w:r>
    </w:p>
    <w:p w14:paraId="4CEB2F02" w14:textId="17DA80B8" w:rsidR="00767687" w:rsidRDefault="006B1AE2" w:rsidP="00AE766B">
      <w:pPr>
        <w:pStyle w:val="ListParagraph"/>
        <w:numPr>
          <w:ilvl w:val="2"/>
          <w:numId w:val="48"/>
        </w:numPr>
        <w:jc w:val="both"/>
      </w:pPr>
      <w:r w:rsidRPr="006B1AE2">
        <w:t>I etapui skiriama 35 %</w:t>
      </w:r>
      <w:r w:rsidR="00767687">
        <w:t xml:space="preserve"> sutarties </w:t>
      </w:r>
      <w:r w:rsidR="00EB6009">
        <w:t>kainos</w:t>
      </w:r>
      <w:r w:rsidRPr="006B1AE2">
        <w:t>,</w:t>
      </w:r>
    </w:p>
    <w:p w14:paraId="79D7021F" w14:textId="14B6068D" w:rsidR="00767687" w:rsidRDefault="006B1AE2" w:rsidP="00AE766B">
      <w:pPr>
        <w:pStyle w:val="ListParagraph"/>
        <w:numPr>
          <w:ilvl w:val="2"/>
          <w:numId w:val="48"/>
        </w:numPr>
        <w:jc w:val="both"/>
      </w:pPr>
      <w:r w:rsidRPr="006B1AE2">
        <w:t>II etapui – 35 %</w:t>
      </w:r>
      <w:r w:rsidR="00767687">
        <w:t xml:space="preserve"> sutarties </w:t>
      </w:r>
      <w:r w:rsidR="00EB6009">
        <w:t>kainos</w:t>
      </w:r>
      <w:r w:rsidRPr="006B1AE2">
        <w:t>,</w:t>
      </w:r>
    </w:p>
    <w:p w14:paraId="0C40A7B3" w14:textId="7F0A5F80" w:rsidR="006B1AE2" w:rsidRPr="006B1AE2" w:rsidRDefault="006B1AE2" w:rsidP="00AE766B">
      <w:pPr>
        <w:pStyle w:val="ListParagraph"/>
        <w:numPr>
          <w:ilvl w:val="2"/>
          <w:numId w:val="48"/>
        </w:numPr>
        <w:jc w:val="both"/>
      </w:pPr>
      <w:r w:rsidRPr="006B1AE2">
        <w:t xml:space="preserve">III etapui – 30 % sutarties </w:t>
      </w:r>
      <w:r w:rsidR="00EB6009">
        <w:t>kainos</w:t>
      </w:r>
      <w:r w:rsidRPr="006B1AE2">
        <w:t>.</w:t>
      </w:r>
    </w:p>
    <w:p w14:paraId="276E24EB" w14:textId="5AC1898E" w:rsidR="006B1AE2" w:rsidRPr="006B1AE2" w:rsidRDefault="006B1AE2" w:rsidP="00AE766B">
      <w:pPr>
        <w:pStyle w:val="ListParagraph"/>
        <w:numPr>
          <w:ilvl w:val="1"/>
          <w:numId w:val="48"/>
        </w:numPr>
        <w:jc w:val="both"/>
      </w:pPr>
      <w:r w:rsidRPr="00D229FF">
        <w:rPr>
          <w:b/>
          <w:bCs/>
        </w:rPr>
        <w:t>I ir II etapo darbai turi būti vykdomi lygiagrečiai</w:t>
      </w:r>
      <w:r w:rsidRPr="006B1AE2">
        <w:t xml:space="preserve">, tačiau abu turi būti </w:t>
      </w:r>
      <w:r w:rsidR="00A334F2">
        <w:t>pa</w:t>
      </w:r>
      <w:r w:rsidRPr="006B1AE2">
        <w:t>baigti ir priimti (pasirašyt</w:t>
      </w:r>
      <w:r w:rsidR="00AA62A9">
        <w:t>i</w:t>
      </w:r>
      <w:r w:rsidRPr="006B1AE2">
        <w:t xml:space="preserve"> </w:t>
      </w:r>
      <w:r w:rsidR="00AE766B">
        <w:t>paslaugų</w:t>
      </w:r>
      <w:r w:rsidRPr="006B1AE2">
        <w:t xml:space="preserve"> perdavimo–priėmimo akta</w:t>
      </w:r>
      <w:r w:rsidR="00AA62A9">
        <w:t>i</w:t>
      </w:r>
      <w:r w:rsidRPr="006B1AE2">
        <w:t xml:space="preserve"> ne vėliau kaip </w:t>
      </w:r>
      <w:r w:rsidRPr="00767687">
        <w:rPr>
          <w:b/>
          <w:bCs/>
        </w:rPr>
        <w:t xml:space="preserve">iki 2025 m. </w:t>
      </w:r>
      <w:r w:rsidR="0012065C">
        <w:rPr>
          <w:b/>
          <w:bCs/>
        </w:rPr>
        <w:t>gruodžio 1</w:t>
      </w:r>
      <w:r w:rsidR="005A7DC6">
        <w:rPr>
          <w:b/>
          <w:bCs/>
        </w:rPr>
        <w:t xml:space="preserve"> </w:t>
      </w:r>
      <w:r w:rsidR="0012065C">
        <w:rPr>
          <w:b/>
          <w:bCs/>
        </w:rPr>
        <w:t>d</w:t>
      </w:r>
      <w:r w:rsidRPr="00767687">
        <w:rPr>
          <w:b/>
          <w:bCs/>
        </w:rPr>
        <w:t>.</w:t>
      </w:r>
    </w:p>
    <w:p w14:paraId="478B0943" w14:textId="2625FFC7" w:rsidR="006B1AE2" w:rsidRPr="006B1AE2" w:rsidRDefault="006B1AE2" w:rsidP="00AE766B">
      <w:pPr>
        <w:pStyle w:val="ListParagraph"/>
        <w:numPr>
          <w:ilvl w:val="1"/>
          <w:numId w:val="48"/>
        </w:numPr>
        <w:jc w:val="both"/>
      </w:pPr>
      <w:r w:rsidRPr="006B1AE2">
        <w:t xml:space="preserve">III etapo darbai turi būti pabaigti ir priimti (pasirašytas </w:t>
      </w:r>
      <w:r w:rsidR="00AE766B">
        <w:t>paslaugų</w:t>
      </w:r>
      <w:r w:rsidRPr="006B1AE2">
        <w:t xml:space="preserve"> </w:t>
      </w:r>
      <w:r w:rsidRPr="006B1AE2">
        <w:t xml:space="preserve">perdavimo–priėmimo aktas) ne </w:t>
      </w:r>
      <w:r w:rsidR="004377DD">
        <w:t>vėliau</w:t>
      </w:r>
      <w:r w:rsidRPr="006B1AE2">
        <w:t xml:space="preserve"> kaip </w:t>
      </w:r>
      <w:r w:rsidR="004377DD">
        <w:rPr>
          <w:b/>
          <w:bCs/>
        </w:rPr>
        <w:t>iki</w:t>
      </w:r>
      <w:r w:rsidRPr="00767687">
        <w:rPr>
          <w:b/>
          <w:bCs/>
        </w:rPr>
        <w:t xml:space="preserve"> 2026 m. </w:t>
      </w:r>
      <w:r w:rsidR="004377DD">
        <w:rPr>
          <w:b/>
          <w:bCs/>
        </w:rPr>
        <w:t>kovo</w:t>
      </w:r>
      <w:r w:rsidRPr="00767687">
        <w:rPr>
          <w:b/>
          <w:bCs/>
        </w:rPr>
        <w:t xml:space="preserve"> </w:t>
      </w:r>
      <w:r w:rsidR="004377DD">
        <w:rPr>
          <w:b/>
          <w:bCs/>
        </w:rPr>
        <w:t>1</w:t>
      </w:r>
      <w:r w:rsidRPr="00767687">
        <w:rPr>
          <w:b/>
          <w:bCs/>
        </w:rPr>
        <w:t xml:space="preserve"> d.</w:t>
      </w:r>
    </w:p>
    <w:p w14:paraId="613F590E" w14:textId="784BB16F" w:rsidR="006B1AE2" w:rsidRPr="006B1AE2" w:rsidRDefault="006B1AE2" w:rsidP="00AE766B">
      <w:pPr>
        <w:pStyle w:val="ListParagraph"/>
        <w:numPr>
          <w:ilvl w:val="1"/>
          <w:numId w:val="48"/>
        </w:numPr>
        <w:jc w:val="both"/>
      </w:pPr>
      <w:r w:rsidRPr="006B1AE2">
        <w:t>Laikoma</w:t>
      </w:r>
      <w:r w:rsidRPr="006B1AE2">
        <w:t>, kad</w:t>
      </w:r>
      <w:r w:rsidR="002162ED">
        <w:t xml:space="preserve"> </w:t>
      </w:r>
      <w:r w:rsidR="009D22A4">
        <w:t>atitinkamo</w:t>
      </w:r>
      <w:r w:rsidR="002162ED">
        <w:t xml:space="preserve"> etapo</w:t>
      </w:r>
      <w:r w:rsidRPr="006B1AE2">
        <w:t xml:space="preserve"> </w:t>
      </w:r>
      <w:commentRangeStart w:id="2"/>
      <w:r w:rsidRPr="006B1AE2">
        <w:t xml:space="preserve">paslaugos suteiktos tinkamai, kai Perkančioji organizacija pasirašo Paslaugų teikėjo pateiktą paslaugų perdavimo-priėmimo aktą. </w:t>
      </w:r>
      <w:commentRangeEnd w:id="2"/>
      <w:r w:rsidR="009166BD">
        <w:rPr>
          <w:rStyle w:val="CommentReference"/>
        </w:rPr>
        <w:commentReference w:id="2"/>
      </w:r>
      <w:r w:rsidRPr="006B1AE2">
        <w:t>Į paslaugų suteikimo terminą įeina Paslaugų rezultato derinimas, koregavimas, jeigu reikia, Paslaugų rezultatų priėmimas ir Paslaugų perdavimo – priėmimo akto pasirašymas.</w:t>
      </w:r>
    </w:p>
    <w:p w14:paraId="56484A06" w14:textId="03D84279" w:rsidR="006B1AE2" w:rsidRPr="006B1AE2" w:rsidRDefault="006B1AE2" w:rsidP="00AE766B">
      <w:pPr>
        <w:pStyle w:val="ListParagraph"/>
        <w:numPr>
          <w:ilvl w:val="1"/>
          <w:numId w:val="48"/>
        </w:numPr>
        <w:jc w:val="both"/>
      </w:pPr>
      <w:r w:rsidRPr="006B1AE2">
        <w:t>Už tinkamai suteiktas ir priimtas Paslaugas su Paslaugų teikėju numatoma atsiskaityti per 30 (trisdešimt) kalendorinių dienų</w:t>
      </w:r>
      <w:r w:rsidR="001D0DD2">
        <w:t xml:space="preserve"> nuo Sąskaitos gavimo dienos</w:t>
      </w:r>
      <w:r w:rsidRPr="006B1AE2">
        <w:t>.</w:t>
      </w:r>
    </w:p>
    <w:p w14:paraId="5999F44A" w14:textId="34E94618" w:rsidR="00BE424A" w:rsidRDefault="00AE766B" w:rsidP="00AE766B">
      <w:pPr>
        <w:jc w:val="center"/>
      </w:pPr>
      <w:r>
        <w:t>______________</w:t>
      </w:r>
    </w:p>
    <w:sectPr w:rsidR="00BE424A" w:rsidSect="006B1AE2">
      <w:headerReference w:type="even" r:id="rId16"/>
      <w:headerReference w:type="default" r:id="rId17"/>
      <w:footerReference w:type="even" r:id="rId18"/>
      <w:footerReference w:type="default" r:id="rId19"/>
      <w:headerReference w:type="first" r:id="rId20"/>
      <w:footerReference w:type="first" r:id="rId21"/>
      <w:pgSz w:w="11906" w:h="16838"/>
      <w:pgMar w:top="993" w:right="836"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aiva Rastenienė" w:date="2025-05-15T21:18:00Z" w:initials="DR">
    <w:p w14:paraId="579AECBE" w14:textId="1FBC8390" w:rsidR="009166BD" w:rsidRDefault="009166BD" w:rsidP="009166BD">
      <w:pPr>
        <w:pStyle w:val="CommentText"/>
      </w:pPr>
      <w:r>
        <w:rPr>
          <w:rStyle w:val="CommentReference"/>
        </w:rPr>
        <w:annotationRef/>
      </w:r>
      <w:r>
        <w:t xml:space="preserve">Ar čia nereiktų papildyti, kad laikoma, kad </w:t>
      </w:r>
      <w:r>
        <w:rPr>
          <w:b/>
          <w:bCs/>
        </w:rPr>
        <w:t xml:space="preserve">atitinkamo </w:t>
      </w:r>
      <w:r>
        <w:t>etapo paslaugos suteiktos tinkamai</w:t>
      </w:r>
    </w:p>
    <w:p w14:paraId="6D791E25" w14:textId="77777777" w:rsidR="009166BD" w:rsidRDefault="009166BD" w:rsidP="009166BD">
      <w:pPr>
        <w:pStyle w:val="CommentText"/>
      </w:pPr>
      <w:r>
        <w:t>Kai PO pasirašo atitinkamo etapo paslaugų priėmimo-perdavimo aktą?</w:t>
      </w:r>
    </w:p>
    <w:p w14:paraId="3B0E641F" w14:textId="77777777" w:rsidR="009166BD" w:rsidRDefault="009166BD" w:rsidP="009166B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0E641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C1774E" w16cex:dateUtc="2025-05-15T18:18:00Z">
    <w16cex:extLst>
      <w16:ext w16:uri="{CE6994B0-6A32-4C9F-8C6B-6E91EDA988CE}">
        <cr:reactions xmlns:cr="http://schemas.microsoft.com/office/comments/2020/reactions">
          <cr:reaction reactionType="1">
            <cr:reactionInfo dateUtc="2025-05-16T06:49:04Z">
              <cr:user userId="S::egle.simukenaite@vssa.lt::3633cea1-0c66-471a-9abc-37781c3714d8" userProvider="AD" userName="Eglė Šimukėnaitė"/>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0E641F" w16cid:durableId="69C177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F256" w14:textId="77777777" w:rsidR="00A369F9" w:rsidRDefault="00A369F9">
      <w:pPr>
        <w:spacing w:after="0" w:line="240" w:lineRule="auto"/>
      </w:pPr>
      <w:r>
        <w:separator/>
      </w:r>
    </w:p>
  </w:endnote>
  <w:endnote w:type="continuationSeparator" w:id="0">
    <w:p w14:paraId="3E589829" w14:textId="77777777" w:rsidR="00A369F9" w:rsidRDefault="00A3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E8CB" w14:textId="77777777" w:rsidR="00D82AFD" w:rsidRDefault="00D82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20250"/>
      <w:docPartObj>
        <w:docPartGallery w:val="Page Numbers (Bottom of Page)"/>
        <w:docPartUnique/>
      </w:docPartObj>
    </w:sdtPr>
    <w:sdtContent>
      <w:p w14:paraId="5D4720B1" w14:textId="77777777" w:rsidR="00D82AFD" w:rsidRDefault="00623FEA">
        <w:pPr>
          <w:pStyle w:val="Footer"/>
          <w:jc w:val="right"/>
        </w:pPr>
        <w:r>
          <w:fldChar w:fldCharType="begin"/>
        </w:r>
        <w:r>
          <w:instrText>PAGE   \* MERGEFORMAT</w:instrText>
        </w:r>
        <w:r>
          <w:fldChar w:fldCharType="separate"/>
        </w:r>
        <w:r>
          <w:t>2</w:t>
        </w:r>
        <w:r>
          <w:fldChar w:fldCharType="end"/>
        </w:r>
      </w:p>
    </w:sdtContent>
  </w:sdt>
  <w:p w14:paraId="0CBE1AD1" w14:textId="77777777" w:rsidR="00D82AFD" w:rsidRDefault="00D82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753" w14:textId="77777777" w:rsidR="00D82AFD" w:rsidRDefault="00D82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880B" w14:textId="77777777" w:rsidR="00A369F9" w:rsidRDefault="00A369F9">
      <w:pPr>
        <w:spacing w:after="0" w:line="240" w:lineRule="auto"/>
      </w:pPr>
      <w:r>
        <w:separator/>
      </w:r>
    </w:p>
  </w:footnote>
  <w:footnote w:type="continuationSeparator" w:id="0">
    <w:p w14:paraId="74042474" w14:textId="77777777" w:rsidR="00A369F9" w:rsidRDefault="00A36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C9D26" w14:textId="77777777" w:rsidR="00D82AFD" w:rsidRDefault="00D82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90E8" w14:textId="77777777" w:rsidR="00D82AFD" w:rsidRDefault="00D82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7E37" w14:textId="77777777" w:rsidR="00D82AFD" w:rsidRDefault="00D82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4011"/>
    <w:multiLevelType w:val="multilevel"/>
    <w:tmpl w:val="1C844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2B3AC2"/>
    <w:multiLevelType w:val="hybridMultilevel"/>
    <w:tmpl w:val="DED080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5988"/>
    <w:multiLevelType w:val="multilevel"/>
    <w:tmpl w:val="F168DDE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2D2C2A"/>
    <w:multiLevelType w:val="multilevel"/>
    <w:tmpl w:val="0F1ACA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A871BE0"/>
    <w:multiLevelType w:val="multilevel"/>
    <w:tmpl w:val="4BA2E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E1ECD"/>
    <w:multiLevelType w:val="multilevel"/>
    <w:tmpl w:val="B12EC044"/>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D565F7C"/>
    <w:multiLevelType w:val="multilevel"/>
    <w:tmpl w:val="E236AF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DC39BA"/>
    <w:multiLevelType w:val="multilevel"/>
    <w:tmpl w:val="BA62C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0F1305"/>
    <w:multiLevelType w:val="multilevel"/>
    <w:tmpl w:val="2B34D12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6B7FA4"/>
    <w:multiLevelType w:val="multilevel"/>
    <w:tmpl w:val="F8AA310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AC714E"/>
    <w:multiLevelType w:val="multilevel"/>
    <w:tmpl w:val="3E1E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2A7309"/>
    <w:multiLevelType w:val="multilevel"/>
    <w:tmpl w:val="13E81A4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5163E3"/>
    <w:multiLevelType w:val="multilevel"/>
    <w:tmpl w:val="BBE0FDC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6C06AF"/>
    <w:multiLevelType w:val="multilevel"/>
    <w:tmpl w:val="25DA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F64C89"/>
    <w:multiLevelType w:val="multilevel"/>
    <w:tmpl w:val="DADCC60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AD0219"/>
    <w:multiLevelType w:val="hybridMultilevel"/>
    <w:tmpl w:val="564ABA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626C3"/>
    <w:multiLevelType w:val="hybridMultilevel"/>
    <w:tmpl w:val="1988E788"/>
    <w:lvl w:ilvl="0" w:tplc="0427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3AF8092D"/>
    <w:multiLevelType w:val="multilevel"/>
    <w:tmpl w:val="8E40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3A63D3"/>
    <w:multiLevelType w:val="multilevel"/>
    <w:tmpl w:val="BDD4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E72F4E"/>
    <w:multiLevelType w:val="multilevel"/>
    <w:tmpl w:val="E0329B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3BD6945"/>
    <w:multiLevelType w:val="multilevel"/>
    <w:tmpl w:val="B03A48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55C29A7"/>
    <w:multiLevelType w:val="multilevel"/>
    <w:tmpl w:val="2DEE89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6597CB1"/>
    <w:multiLevelType w:val="multilevel"/>
    <w:tmpl w:val="E5CC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613AE4"/>
    <w:multiLevelType w:val="multilevel"/>
    <w:tmpl w:val="1AB6FE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7A66613"/>
    <w:multiLevelType w:val="multilevel"/>
    <w:tmpl w:val="8596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7C59C5"/>
    <w:multiLevelType w:val="multilevel"/>
    <w:tmpl w:val="557CF5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BCE6B83"/>
    <w:multiLevelType w:val="hybridMultilevel"/>
    <w:tmpl w:val="C0EC9AD6"/>
    <w:lvl w:ilvl="0" w:tplc="FDFC4140">
      <w:start w:val="1"/>
      <w:numFmt w:val="bullet"/>
      <w:lvlText w:val="►"/>
      <w:lvlJc w:val="left"/>
      <w:pPr>
        <w:ind w:left="751" w:hanging="360"/>
      </w:pPr>
      <w:rPr>
        <w:rFonts w:ascii="Arial" w:hAnsi="Arial" w:cs="Times New Roman" w:hint="default"/>
        <w:color w:val="FFC000"/>
        <w:u w:color="E97132" w:themeColor="accent2"/>
      </w:rPr>
    </w:lvl>
    <w:lvl w:ilvl="1" w:tplc="08090003" w:tentative="1">
      <w:start w:val="1"/>
      <w:numFmt w:val="bullet"/>
      <w:lvlText w:val="o"/>
      <w:lvlJc w:val="left"/>
      <w:pPr>
        <w:ind w:left="1471" w:hanging="360"/>
      </w:pPr>
      <w:rPr>
        <w:rFonts w:ascii="Courier New" w:hAnsi="Courier New" w:cs="Courier New" w:hint="default"/>
      </w:rPr>
    </w:lvl>
    <w:lvl w:ilvl="2" w:tplc="08090005" w:tentative="1">
      <w:start w:val="1"/>
      <w:numFmt w:val="bullet"/>
      <w:lvlText w:val=""/>
      <w:lvlJc w:val="left"/>
      <w:pPr>
        <w:ind w:left="2191" w:hanging="360"/>
      </w:pPr>
      <w:rPr>
        <w:rFonts w:ascii="Wingdings" w:hAnsi="Wingdings" w:hint="default"/>
      </w:rPr>
    </w:lvl>
    <w:lvl w:ilvl="3" w:tplc="08090001" w:tentative="1">
      <w:start w:val="1"/>
      <w:numFmt w:val="bullet"/>
      <w:lvlText w:val=""/>
      <w:lvlJc w:val="left"/>
      <w:pPr>
        <w:ind w:left="2911" w:hanging="360"/>
      </w:pPr>
      <w:rPr>
        <w:rFonts w:ascii="Symbol" w:hAnsi="Symbol" w:hint="default"/>
      </w:rPr>
    </w:lvl>
    <w:lvl w:ilvl="4" w:tplc="08090003" w:tentative="1">
      <w:start w:val="1"/>
      <w:numFmt w:val="bullet"/>
      <w:lvlText w:val="o"/>
      <w:lvlJc w:val="left"/>
      <w:pPr>
        <w:ind w:left="3631" w:hanging="360"/>
      </w:pPr>
      <w:rPr>
        <w:rFonts w:ascii="Courier New" w:hAnsi="Courier New" w:cs="Courier New" w:hint="default"/>
      </w:rPr>
    </w:lvl>
    <w:lvl w:ilvl="5" w:tplc="08090005" w:tentative="1">
      <w:start w:val="1"/>
      <w:numFmt w:val="bullet"/>
      <w:lvlText w:val=""/>
      <w:lvlJc w:val="left"/>
      <w:pPr>
        <w:ind w:left="4351" w:hanging="360"/>
      </w:pPr>
      <w:rPr>
        <w:rFonts w:ascii="Wingdings" w:hAnsi="Wingdings" w:hint="default"/>
      </w:rPr>
    </w:lvl>
    <w:lvl w:ilvl="6" w:tplc="08090001" w:tentative="1">
      <w:start w:val="1"/>
      <w:numFmt w:val="bullet"/>
      <w:lvlText w:val=""/>
      <w:lvlJc w:val="left"/>
      <w:pPr>
        <w:ind w:left="5071" w:hanging="360"/>
      </w:pPr>
      <w:rPr>
        <w:rFonts w:ascii="Symbol" w:hAnsi="Symbol" w:hint="default"/>
      </w:rPr>
    </w:lvl>
    <w:lvl w:ilvl="7" w:tplc="08090003" w:tentative="1">
      <w:start w:val="1"/>
      <w:numFmt w:val="bullet"/>
      <w:lvlText w:val="o"/>
      <w:lvlJc w:val="left"/>
      <w:pPr>
        <w:ind w:left="5791" w:hanging="360"/>
      </w:pPr>
      <w:rPr>
        <w:rFonts w:ascii="Courier New" w:hAnsi="Courier New" w:cs="Courier New" w:hint="default"/>
      </w:rPr>
    </w:lvl>
    <w:lvl w:ilvl="8" w:tplc="08090005" w:tentative="1">
      <w:start w:val="1"/>
      <w:numFmt w:val="bullet"/>
      <w:lvlText w:val=""/>
      <w:lvlJc w:val="left"/>
      <w:pPr>
        <w:ind w:left="6511" w:hanging="360"/>
      </w:pPr>
      <w:rPr>
        <w:rFonts w:ascii="Wingdings" w:hAnsi="Wingdings" w:hint="default"/>
      </w:rPr>
    </w:lvl>
  </w:abstractNum>
  <w:abstractNum w:abstractNumId="27" w15:restartNumberingAfterBreak="0">
    <w:nsid w:val="4C0F245F"/>
    <w:multiLevelType w:val="hybridMultilevel"/>
    <w:tmpl w:val="A31623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4B0F2D"/>
    <w:multiLevelType w:val="hybridMultilevel"/>
    <w:tmpl w:val="E0CC9EA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C842E9C"/>
    <w:multiLevelType w:val="multilevel"/>
    <w:tmpl w:val="EED058B6"/>
    <w:lvl w:ilvl="0">
      <w:start w:val="1"/>
      <w:numFmt w:val="decimal"/>
      <w:lvlText w:val="%1."/>
      <w:lvlJc w:val="left"/>
      <w:pPr>
        <w:ind w:left="360" w:hanging="360"/>
      </w:pPr>
      <w:rPr>
        <w:rFonts w:hint="default"/>
      </w:rPr>
    </w:lvl>
    <w:lvl w:ilvl="1">
      <w:start w:val="1"/>
      <w:numFmt w:val="decimal"/>
      <w:lvlText w:val="%1.%2."/>
      <w:lvlJc w:val="left"/>
      <w:pPr>
        <w:ind w:left="1512" w:hanging="432"/>
      </w:pPr>
      <w:rPr>
        <w:rFonts w:hint="default"/>
        <w:b w:val="0"/>
        <w:bCs/>
      </w:rPr>
    </w:lvl>
    <w:lvl w:ilvl="2">
      <w:start w:val="1"/>
      <w:numFmt w:val="decimal"/>
      <w:lvlText w:val="%1.%2.%3."/>
      <w:lvlJc w:val="left"/>
      <w:pPr>
        <w:ind w:left="1224" w:hanging="504"/>
      </w:pPr>
      <w:rPr>
        <w:rFonts w:ascii="Verdana" w:hAnsi="Verdana"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3A4BBE"/>
    <w:multiLevelType w:val="multilevel"/>
    <w:tmpl w:val="0DD4D4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5F31160"/>
    <w:multiLevelType w:val="multilevel"/>
    <w:tmpl w:val="686A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DF25D0"/>
    <w:multiLevelType w:val="multilevel"/>
    <w:tmpl w:val="93466C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C237B9B"/>
    <w:multiLevelType w:val="multilevel"/>
    <w:tmpl w:val="7B62CC54"/>
    <w:lvl w:ilvl="0">
      <w:start w:val="2"/>
      <w:numFmt w:val="decimal"/>
      <w:lvlText w:val="%1."/>
      <w:lvlJc w:val="left"/>
      <w:pPr>
        <w:ind w:left="390" w:hanging="390"/>
      </w:pPr>
      <w:rPr>
        <w:rFonts w:hint="default"/>
      </w:rPr>
    </w:lvl>
    <w:lvl w:ilvl="1">
      <w:start w:val="1"/>
      <w:numFmt w:val="none"/>
      <w:lvlText w:val="9."/>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61332EEC"/>
    <w:multiLevelType w:val="multilevel"/>
    <w:tmpl w:val="95A0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D06F28"/>
    <w:multiLevelType w:val="multilevel"/>
    <w:tmpl w:val="43B035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F601560"/>
    <w:multiLevelType w:val="multilevel"/>
    <w:tmpl w:val="A9E8976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654674"/>
    <w:multiLevelType w:val="multilevel"/>
    <w:tmpl w:val="06C62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4860BB4"/>
    <w:multiLevelType w:val="multilevel"/>
    <w:tmpl w:val="2EE6B1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7431A77"/>
    <w:multiLevelType w:val="multilevel"/>
    <w:tmpl w:val="E2BE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4E6F42"/>
    <w:multiLevelType w:val="multilevel"/>
    <w:tmpl w:val="2F2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BC54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275050"/>
    <w:multiLevelType w:val="multilevel"/>
    <w:tmpl w:val="A5182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449C0"/>
    <w:multiLevelType w:val="multilevel"/>
    <w:tmpl w:val="2BA012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CC2704C"/>
    <w:multiLevelType w:val="hybridMultilevel"/>
    <w:tmpl w:val="C6FAEBEE"/>
    <w:lvl w:ilvl="0" w:tplc="FFFFFFFF">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0364A"/>
    <w:multiLevelType w:val="multilevel"/>
    <w:tmpl w:val="E9D0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D612ED"/>
    <w:multiLevelType w:val="hybridMultilevel"/>
    <w:tmpl w:val="95A42F2A"/>
    <w:lvl w:ilvl="0" w:tplc="FFFFFFFF">
      <w:start w:val="1"/>
      <w:numFmt w:val="bullet"/>
      <w:lvlText w:val="-"/>
      <w:lvlJc w:val="left"/>
      <w:pPr>
        <w:ind w:left="1080" w:hanging="360"/>
      </w:pPr>
      <w:rPr>
        <w:rFonts w:ascii="Tahoma" w:hAnsi="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186210781">
    <w:abstractNumId w:val="29"/>
  </w:num>
  <w:num w:numId="2" w16cid:durableId="228467994">
    <w:abstractNumId w:val="44"/>
  </w:num>
  <w:num w:numId="3" w16cid:durableId="268397740">
    <w:abstractNumId w:val="33"/>
  </w:num>
  <w:num w:numId="4" w16cid:durableId="1258320491">
    <w:abstractNumId w:val="26"/>
  </w:num>
  <w:num w:numId="5" w16cid:durableId="1040134344">
    <w:abstractNumId w:val="18"/>
  </w:num>
  <w:num w:numId="6" w16cid:durableId="873812880">
    <w:abstractNumId w:val="16"/>
  </w:num>
  <w:num w:numId="7" w16cid:durableId="909384222">
    <w:abstractNumId w:val="5"/>
  </w:num>
  <w:num w:numId="8" w16cid:durableId="1360203154">
    <w:abstractNumId w:val="27"/>
  </w:num>
  <w:num w:numId="9" w16cid:durableId="1355114924">
    <w:abstractNumId w:val="8"/>
  </w:num>
  <w:num w:numId="10" w16cid:durableId="2094353622">
    <w:abstractNumId w:val="41"/>
  </w:num>
  <w:num w:numId="11" w16cid:durableId="732461717">
    <w:abstractNumId w:val="46"/>
  </w:num>
  <w:num w:numId="12" w16cid:durableId="2030140983">
    <w:abstractNumId w:val="39"/>
  </w:num>
  <w:num w:numId="13" w16cid:durableId="1559127519">
    <w:abstractNumId w:val="45"/>
  </w:num>
  <w:num w:numId="14" w16cid:durableId="309404353">
    <w:abstractNumId w:val="7"/>
  </w:num>
  <w:num w:numId="15" w16cid:durableId="1785231319">
    <w:abstractNumId w:val="3"/>
  </w:num>
  <w:num w:numId="16" w16cid:durableId="1730028559">
    <w:abstractNumId w:val="32"/>
  </w:num>
  <w:num w:numId="17" w16cid:durableId="1862165622">
    <w:abstractNumId w:val="23"/>
  </w:num>
  <w:num w:numId="18" w16cid:durableId="816262985">
    <w:abstractNumId w:val="20"/>
  </w:num>
  <w:num w:numId="19" w16cid:durableId="392972350">
    <w:abstractNumId w:val="25"/>
  </w:num>
  <w:num w:numId="20" w16cid:durableId="105735901">
    <w:abstractNumId w:val="43"/>
  </w:num>
  <w:num w:numId="21" w16cid:durableId="1018234764">
    <w:abstractNumId w:val="22"/>
  </w:num>
  <w:num w:numId="22" w16cid:durableId="879391708">
    <w:abstractNumId w:val="24"/>
  </w:num>
  <w:num w:numId="23" w16cid:durableId="2122450777">
    <w:abstractNumId w:val="21"/>
  </w:num>
  <w:num w:numId="24" w16cid:durableId="474688010">
    <w:abstractNumId w:val="38"/>
  </w:num>
  <w:num w:numId="25" w16cid:durableId="2034526029">
    <w:abstractNumId w:val="37"/>
  </w:num>
  <w:num w:numId="26" w16cid:durableId="2025206655">
    <w:abstractNumId w:val="6"/>
  </w:num>
  <w:num w:numId="27" w16cid:durableId="1612273437">
    <w:abstractNumId w:val="34"/>
  </w:num>
  <w:num w:numId="28" w16cid:durableId="1839225526">
    <w:abstractNumId w:val="10"/>
  </w:num>
  <w:num w:numId="29" w16cid:durableId="1995335806">
    <w:abstractNumId w:val="35"/>
  </w:num>
  <w:num w:numId="30" w16cid:durableId="606814778">
    <w:abstractNumId w:val="30"/>
  </w:num>
  <w:num w:numId="31" w16cid:durableId="1705714533">
    <w:abstractNumId w:val="19"/>
  </w:num>
  <w:num w:numId="32" w16cid:durableId="214901214">
    <w:abstractNumId w:val="0"/>
  </w:num>
  <w:num w:numId="33" w16cid:durableId="676689626">
    <w:abstractNumId w:val="17"/>
  </w:num>
  <w:num w:numId="34" w16cid:durableId="398141473">
    <w:abstractNumId w:val="40"/>
  </w:num>
  <w:num w:numId="35" w16cid:durableId="691153751">
    <w:abstractNumId w:val="31"/>
  </w:num>
  <w:num w:numId="36" w16cid:durableId="2079132468">
    <w:abstractNumId w:val="4"/>
  </w:num>
  <w:num w:numId="37" w16cid:durableId="1131561131">
    <w:abstractNumId w:val="13"/>
  </w:num>
  <w:num w:numId="38" w16cid:durableId="230385676">
    <w:abstractNumId w:val="42"/>
  </w:num>
  <w:num w:numId="39" w16cid:durableId="217404932">
    <w:abstractNumId w:val="12"/>
  </w:num>
  <w:num w:numId="40" w16cid:durableId="2080446030">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2.%2."/>
        <w:lvlJc w:val="left"/>
        <w:pPr>
          <w:ind w:left="792" w:hanging="432"/>
        </w:pPr>
        <w:rPr>
          <w:rFonts w:hint="default"/>
        </w:rPr>
      </w:lvl>
    </w:lvlOverride>
    <w:lvlOverride w:ilvl="2">
      <w:lvl w:ilvl="2">
        <w:start w:val="1"/>
        <w:numFmt w:val="decimal"/>
        <w:lvlText w:val="2.%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789668577">
    <w:abstractNumId w:val="9"/>
  </w:num>
  <w:num w:numId="42" w16cid:durableId="1110465395">
    <w:abstractNumId w:val="1"/>
  </w:num>
  <w:num w:numId="43" w16cid:durableId="1564290346">
    <w:abstractNumId w:val="36"/>
  </w:num>
  <w:num w:numId="44" w16cid:durableId="1889368432">
    <w:abstractNumId w:val="2"/>
  </w:num>
  <w:num w:numId="45" w16cid:durableId="1193877820">
    <w:abstractNumId w:val="15"/>
  </w:num>
  <w:num w:numId="46" w16cid:durableId="579171997">
    <w:abstractNumId w:val="11"/>
  </w:num>
  <w:num w:numId="47" w16cid:durableId="1789546115">
    <w:abstractNumId w:val="28"/>
  </w:num>
  <w:num w:numId="48" w16cid:durableId="1342318205">
    <w:abstractNumId w:val="14"/>
  </w:num>
  <w:num w:numId="49" w16cid:durableId="1643774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Rastenienė">
    <w15:presenceInfo w15:providerId="AD" w15:userId="S::d.rasteniene@cpo.lt::40e6dd06-a7bf-4ecf-8004-3ba12aaac6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AE2"/>
    <w:rsid w:val="0006755D"/>
    <w:rsid w:val="000800FF"/>
    <w:rsid w:val="0009508A"/>
    <w:rsid w:val="000A20F8"/>
    <w:rsid w:val="000A4166"/>
    <w:rsid w:val="001007B2"/>
    <w:rsid w:val="0012065C"/>
    <w:rsid w:val="001259D3"/>
    <w:rsid w:val="00130D66"/>
    <w:rsid w:val="001352E0"/>
    <w:rsid w:val="00191607"/>
    <w:rsid w:val="001D0DD2"/>
    <w:rsid w:val="002162ED"/>
    <w:rsid w:val="0027597D"/>
    <w:rsid w:val="002A2314"/>
    <w:rsid w:val="00307560"/>
    <w:rsid w:val="00334213"/>
    <w:rsid w:val="00334F1C"/>
    <w:rsid w:val="00336596"/>
    <w:rsid w:val="004058B4"/>
    <w:rsid w:val="004377DD"/>
    <w:rsid w:val="00444A91"/>
    <w:rsid w:val="004F3820"/>
    <w:rsid w:val="00547502"/>
    <w:rsid w:val="0055257E"/>
    <w:rsid w:val="00557910"/>
    <w:rsid w:val="00563DF9"/>
    <w:rsid w:val="00571B6F"/>
    <w:rsid w:val="0057537C"/>
    <w:rsid w:val="00595F00"/>
    <w:rsid w:val="005A7DC6"/>
    <w:rsid w:val="005B1AE5"/>
    <w:rsid w:val="005C5FFB"/>
    <w:rsid w:val="005E1580"/>
    <w:rsid w:val="005E4851"/>
    <w:rsid w:val="00623FEA"/>
    <w:rsid w:val="006349E2"/>
    <w:rsid w:val="00650C90"/>
    <w:rsid w:val="00682908"/>
    <w:rsid w:val="00684A85"/>
    <w:rsid w:val="00687665"/>
    <w:rsid w:val="006B1AE2"/>
    <w:rsid w:val="00765CAB"/>
    <w:rsid w:val="00767687"/>
    <w:rsid w:val="007723AC"/>
    <w:rsid w:val="0079153C"/>
    <w:rsid w:val="007F4543"/>
    <w:rsid w:val="00813B6D"/>
    <w:rsid w:val="00884C03"/>
    <w:rsid w:val="00890796"/>
    <w:rsid w:val="008A37D1"/>
    <w:rsid w:val="008B75E0"/>
    <w:rsid w:val="009166BD"/>
    <w:rsid w:val="00942D0A"/>
    <w:rsid w:val="00951A55"/>
    <w:rsid w:val="0095247E"/>
    <w:rsid w:val="00966413"/>
    <w:rsid w:val="009D22A4"/>
    <w:rsid w:val="009D4162"/>
    <w:rsid w:val="009F6D7F"/>
    <w:rsid w:val="00A127F1"/>
    <w:rsid w:val="00A334F2"/>
    <w:rsid w:val="00A369F9"/>
    <w:rsid w:val="00A627B6"/>
    <w:rsid w:val="00AA62A9"/>
    <w:rsid w:val="00AD314B"/>
    <w:rsid w:val="00AE1CCC"/>
    <w:rsid w:val="00AE766B"/>
    <w:rsid w:val="00B93025"/>
    <w:rsid w:val="00B96322"/>
    <w:rsid w:val="00BA0603"/>
    <w:rsid w:val="00BB7A17"/>
    <w:rsid w:val="00BE424A"/>
    <w:rsid w:val="00C1645B"/>
    <w:rsid w:val="00C46A0B"/>
    <w:rsid w:val="00C95297"/>
    <w:rsid w:val="00CB5543"/>
    <w:rsid w:val="00CF141D"/>
    <w:rsid w:val="00D229FF"/>
    <w:rsid w:val="00D82AFD"/>
    <w:rsid w:val="00D92036"/>
    <w:rsid w:val="00DA5E06"/>
    <w:rsid w:val="00DB5A81"/>
    <w:rsid w:val="00DC5D99"/>
    <w:rsid w:val="00DC7E3F"/>
    <w:rsid w:val="00DE5986"/>
    <w:rsid w:val="00E416E0"/>
    <w:rsid w:val="00E469E3"/>
    <w:rsid w:val="00EB6009"/>
    <w:rsid w:val="00EC11D4"/>
    <w:rsid w:val="00F53BF4"/>
    <w:rsid w:val="00F62C2E"/>
    <w:rsid w:val="00F77844"/>
    <w:rsid w:val="00FC28F5"/>
    <w:rsid w:val="00FE1790"/>
    <w:rsid w:val="4E29C8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E284D"/>
  <w15:chartTrackingRefBased/>
  <w15:docId w15:val="{C95F3A4F-EBA4-4DE0-8208-669A198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AE2"/>
    <w:pPr>
      <w:spacing w:after="200" w:line="259"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6B1A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1A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1A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1A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1A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1A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1A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1A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1A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1A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1A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1A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1A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1A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1A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1A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1A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1AE2"/>
    <w:rPr>
      <w:rFonts w:eastAsiaTheme="majorEastAsia" w:cstheme="majorBidi"/>
      <w:color w:val="272727" w:themeColor="text1" w:themeTint="D8"/>
    </w:rPr>
  </w:style>
  <w:style w:type="paragraph" w:styleId="Title">
    <w:name w:val="Title"/>
    <w:basedOn w:val="Normal"/>
    <w:next w:val="Normal"/>
    <w:link w:val="TitleChar"/>
    <w:uiPriority w:val="10"/>
    <w:qFormat/>
    <w:rsid w:val="006B1A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1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1A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1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1AE2"/>
    <w:pPr>
      <w:spacing w:before="160"/>
      <w:jc w:val="center"/>
    </w:pPr>
    <w:rPr>
      <w:i/>
      <w:iCs/>
      <w:color w:val="404040" w:themeColor="text1" w:themeTint="BF"/>
    </w:rPr>
  </w:style>
  <w:style w:type="character" w:customStyle="1" w:styleId="QuoteChar">
    <w:name w:val="Quote Char"/>
    <w:basedOn w:val="DefaultParagraphFont"/>
    <w:link w:val="Quote"/>
    <w:uiPriority w:val="29"/>
    <w:rsid w:val="006B1AE2"/>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006B1AE2"/>
    <w:pPr>
      <w:ind w:left="720"/>
      <w:contextualSpacing/>
    </w:pPr>
  </w:style>
  <w:style w:type="character" w:styleId="IntenseEmphasis">
    <w:name w:val="Intense Emphasis"/>
    <w:basedOn w:val="DefaultParagraphFont"/>
    <w:uiPriority w:val="21"/>
    <w:qFormat/>
    <w:rsid w:val="006B1AE2"/>
    <w:rPr>
      <w:i/>
      <w:iCs/>
      <w:color w:val="0F4761" w:themeColor="accent1" w:themeShade="BF"/>
    </w:rPr>
  </w:style>
  <w:style w:type="paragraph" w:styleId="IntenseQuote">
    <w:name w:val="Intense Quote"/>
    <w:basedOn w:val="Normal"/>
    <w:next w:val="Normal"/>
    <w:link w:val="IntenseQuoteChar"/>
    <w:uiPriority w:val="30"/>
    <w:qFormat/>
    <w:rsid w:val="006B1A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1AE2"/>
    <w:rPr>
      <w:i/>
      <w:iCs/>
      <w:color w:val="0F4761" w:themeColor="accent1" w:themeShade="BF"/>
    </w:rPr>
  </w:style>
  <w:style w:type="character" w:styleId="IntenseReference">
    <w:name w:val="Intense Reference"/>
    <w:basedOn w:val="DefaultParagraphFont"/>
    <w:uiPriority w:val="32"/>
    <w:qFormat/>
    <w:rsid w:val="006B1AE2"/>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6B1AE2"/>
  </w:style>
  <w:style w:type="paragraph" w:styleId="Footer">
    <w:name w:val="footer"/>
    <w:basedOn w:val="Normal"/>
    <w:link w:val="FooterChar"/>
    <w:uiPriority w:val="99"/>
    <w:unhideWhenUsed/>
    <w:rsid w:val="006B1AE2"/>
    <w:pPr>
      <w:tabs>
        <w:tab w:val="center" w:pos="4680"/>
        <w:tab w:val="right" w:pos="9360"/>
      </w:tabs>
      <w:spacing w:after="0"/>
    </w:pPr>
  </w:style>
  <w:style w:type="character" w:customStyle="1" w:styleId="FooterChar">
    <w:name w:val="Footer Char"/>
    <w:basedOn w:val="DefaultParagraphFont"/>
    <w:link w:val="Footer"/>
    <w:uiPriority w:val="99"/>
    <w:rsid w:val="006B1AE2"/>
    <w:rPr>
      <w:rFonts w:ascii="Times New Roman" w:hAnsi="Times New Roman" w:cs="Times New Roman"/>
      <w:kern w:val="0"/>
      <w14:ligatures w14:val="none"/>
    </w:rPr>
  </w:style>
  <w:style w:type="paragraph" w:styleId="Header">
    <w:name w:val="header"/>
    <w:basedOn w:val="Normal"/>
    <w:link w:val="HeaderChar"/>
    <w:uiPriority w:val="99"/>
    <w:unhideWhenUsed/>
    <w:rsid w:val="006B1AE2"/>
    <w:pPr>
      <w:tabs>
        <w:tab w:val="center" w:pos="4680"/>
        <w:tab w:val="right" w:pos="9360"/>
      </w:tabs>
      <w:spacing w:after="0"/>
    </w:pPr>
  </w:style>
  <w:style w:type="character" w:customStyle="1" w:styleId="HeaderChar">
    <w:name w:val="Header Char"/>
    <w:basedOn w:val="DefaultParagraphFont"/>
    <w:link w:val="Header"/>
    <w:uiPriority w:val="99"/>
    <w:rsid w:val="006B1AE2"/>
    <w:rPr>
      <w:rFonts w:ascii="Times New Roman" w:hAnsi="Times New Roman" w:cs="Times New Roman"/>
      <w:kern w:val="0"/>
      <w14:ligatures w14:val="none"/>
    </w:rPr>
  </w:style>
  <w:style w:type="character" w:styleId="Hyperlink">
    <w:name w:val="Hyperlink"/>
    <w:basedOn w:val="DefaultParagraphFont"/>
    <w:uiPriority w:val="99"/>
    <w:unhideWhenUsed/>
    <w:rsid w:val="006B1AE2"/>
    <w:rPr>
      <w:color w:val="467886" w:themeColor="hyperlink"/>
      <w:u w:val="single"/>
    </w:rPr>
  </w:style>
  <w:style w:type="table" w:customStyle="1" w:styleId="TableGrid1">
    <w:name w:val="Table Grid1"/>
    <w:basedOn w:val="TableNormal"/>
    <w:next w:val="TableGrid"/>
    <w:uiPriority w:val="59"/>
    <w:rsid w:val="006B1AE2"/>
    <w:pPr>
      <w:spacing w:after="0" w:line="240" w:lineRule="auto"/>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B1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A2314"/>
    <w:pPr>
      <w:spacing w:before="100" w:beforeAutospacing="1" w:after="100" w:afterAutospacing="1" w:line="240" w:lineRule="auto"/>
    </w:pPr>
    <w:rPr>
      <w:rFonts w:eastAsia="Times New Roman"/>
      <w:lang w:eastAsia="lt-LT"/>
    </w:rPr>
  </w:style>
  <w:style w:type="character" w:customStyle="1" w:styleId="normaltextrun">
    <w:name w:val="normaltextrun"/>
    <w:basedOn w:val="DefaultParagraphFont"/>
    <w:rsid w:val="002A2314"/>
  </w:style>
  <w:style w:type="character" w:customStyle="1" w:styleId="eop">
    <w:name w:val="eop"/>
    <w:basedOn w:val="DefaultParagraphFont"/>
    <w:rsid w:val="002A2314"/>
  </w:style>
  <w:style w:type="paragraph" w:styleId="Revision">
    <w:name w:val="Revision"/>
    <w:hidden/>
    <w:uiPriority w:val="99"/>
    <w:semiHidden/>
    <w:rsid w:val="00FC28F5"/>
    <w:pPr>
      <w:spacing w:after="0" w:line="240" w:lineRule="auto"/>
    </w:pPr>
    <w:rPr>
      <w:rFonts w:ascii="Times New Roman" w:hAnsi="Times New Roman" w:cs="Times New Roman"/>
      <w:kern w:val="0"/>
      <w14:ligatures w14:val="none"/>
    </w:rPr>
  </w:style>
  <w:style w:type="character" w:styleId="CommentReference">
    <w:name w:val="annotation reference"/>
    <w:basedOn w:val="DefaultParagraphFont"/>
    <w:uiPriority w:val="99"/>
    <w:semiHidden/>
    <w:unhideWhenUsed/>
    <w:rsid w:val="009166BD"/>
    <w:rPr>
      <w:sz w:val="16"/>
      <w:szCs w:val="16"/>
    </w:rPr>
  </w:style>
  <w:style w:type="paragraph" w:styleId="CommentText">
    <w:name w:val="annotation text"/>
    <w:basedOn w:val="Normal"/>
    <w:link w:val="CommentTextChar"/>
    <w:uiPriority w:val="99"/>
    <w:unhideWhenUsed/>
    <w:rsid w:val="009166BD"/>
    <w:pPr>
      <w:spacing w:line="240" w:lineRule="auto"/>
    </w:pPr>
    <w:rPr>
      <w:sz w:val="20"/>
      <w:szCs w:val="20"/>
    </w:rPr>
  </w:style>
  <w:style w:type="character" w:customStyle="1" w:styleId="CommentTextChar">
    <w:name w:val="Comment Text Char"/>
    <w:basedOn w:val="DefaultParagraphFont"/>
    <w:link w:val="CommentText"/>
    <w:uiPriority w:val="99"/>
    <w:rsid w:val="009166BD"/>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166BD"/>
    <w:rPr>
      <w:b/>
      <w:bCs/>
    </w:rPr>
  </w:style>
  <w:style w:type="character" w:customStyle="1" w:styleId="CommentSubjectChar">
    <w:name w:val="Comment Subject Char"/>
    <w:basedOn w:val="CommentTextChar"/>
    <w:link w:val="CommentSubject"/>
    <w:uiPriority w:val="99"/>
    <w:semiHidden/>
    <w:rsid w:val="009166BD"/>
    <w:rPr>
      <w:rFonts w:ascii="Times New Roman" w:hAnsi="Times New Roman" w:cs="Times New Roman"/>
      <w:b/>
      <w:bCs/>
      <w:kern w:val="0"/>
      <w:sz w:val="20"/>
      <w:szCs w:val="20"/>
      <w14:ligatures w14:val="none"/>
    </w:rPr>
  </w:style>
  <w:style w:type="character" w:styleId="Mention">
    <w:name w:val="Mention"/>
    <w:basedOn w:val="DefaultParagraphFont"/>
    <w:uiPriority w:val="99"/>
    <w:unhideWhenUsed/>
    <w:rsid w:val="00C46A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01029">
      <w:bodyDiv w:val="1"/>
      <w:marLeft w:val="0"/>
      <w:marRight w:val="0"/>
      <w:marTop w:val="0"/>
      <w:marBottom w:val="0"/>
      <w:divBdr>
        <w:top w:val="none" w:sz="0" w:space="0" w:color="auto"/>
        <w:left w:val="none" w:sz="0" w:space="0" w:color="auto"/>
        <w:bottom w:val="none" w:sz="0" w:space="0" w:color="auto"/>
        <w:right w:val="none" w:sz="0" w:space="0" w:color="auto"/>
      </w:divBdr>
      <w:divsChild>
        <w:div w:id="1414742494">
          <w:marLeft w:val="0"/>
          <w:marRight w:val="0"/>
          <w:marTop w:val="0"/>
          <w:marBottom w:val="0"/>
          <w:divBdr>
            <w:top w:val="none" w:sz="0" w:space="0" w:color="auto"/>
            <w:left w:val="none" w:sz="0" w:space="0" w:color="auto"/>
            <w:bottom w:val="none" w:sz="0" w:space="0" w:color="auto"/>
            <w:right w:val="none" w:sz="0" w:space="0" w:color="auto"/>
          </w:divBdr>
        </w:div>
        <w:div w:id="1646854788">
          <w:marLeft w:val="0"/>
          <w:marRight w:val="0"/>
          <w:marTop w:val="0"/>
          <w:marBottom w:val="0"/>
          <w:divBdr>
            <w:top w:val="none" w:sz="0" w:space="0" w:color="auto"/>
            <w:left w:val="none" w:sz="0" w:space="0" w:color="auto"/>
            <w:bottom w:val="none" w:sz="0" w:space="0" w:color="auto"/>
            <w:right w:val="none" w:sz="0" w:space="0" w:color="auto"/>
          </w:divBdr>
        </w:div>
        <w:div w:id="230308188">
          <w:marLeft w:val="0"/>
          <w:marRight w:val="0"/>
          <w:marTop w:val="0"/>
          <w:marBottom w:val="0"/>
          <w:divBdr>
            <w:top w:val="none" w:sz="0" w:space="0" w:color="auto"/>
            <w:left w:val="none" w:sz="0" w:space="0" w:color="auto"/>
            <w:bottom w:val="none" w:sz="0" w:space="0" w:color="auto"/>
            <w:right w:val="none" w:sz="0" w:space="0" w:color="auto"/>
          </w:divBdr>
        </w:div>
        <w:div w:id="1280142466">
          <w:marLeft w:val="0"/>
          <w:marRight w:val="0"/>
          <w:marTop w:val="0"/>
          <w:marBottom w:val="0"/>
          <w:divBdr>
            <w:top w:val="none" w:sz="0" w:space="0" w:color="auto"/>
            <w:left w:val="none" w:sz="0" w:space="0" w:color="auto"/>
            <w:bottom w:val="none" w:sz="0" w:space="0" w:color="auto"/>
            <w:right w:val="none" w:sz="0" w:space="0" w:color="auto"/>
          </w:divBdr>
        </w:div>
        <w:div w:id="241647899">
          <w:marLeft w:val="0"/>
          <w:marRight w:val="0"/>
          <w:marTop w:val="0"/>
          <w:marBottom w:val="0"/>
          <w:divBdr>
            <w:top w:val="none" w:sz="0" w:space="0" w:color="auto"/>
            <w:left w:val="none" w:sz="0" w:space="0" w:color="auto"/>
            <w:bottom w:val="none" w:sz="0" w:space="0" w:color="auto"/>
            <w:right w:val="none" w:sz="0" w:space="0" w:color="auto"/>
          </w:divBdr>
        </w:div>
        <w:div w:id="1097287553">
          <w:marLeft w:val="0"/>
          <w:marRight w:val="0"/>
          <w:marTop w:val="0"/>
          <w:marBottom w:val="0"/>
          <w:divBdr>
            <w:top w:val="none" w:sz="0" w:space="0" w:color="auto"/>
            <w:left w:val="none" w:sz="0" w:space="0" w:color="auto"/>
            <w:bottom w:val="none" w:sz="0" w:space="0" w:color="auto"/>
            <w:right w:val="none" w:sz="0" w:space="0" w:color="auto"/>
          </w:divBdr>
        </w:div>
        <w:div w:id="872226259">
          <w:marLeft w:val="0"/>
          <w:marRight w:val="0"/>
          <w:marTop w:val="0"/>
          <w:marBottom w:val="0"/>
          <w:divBdr>
            <w:top w:val="none" w:sz="0" w:space="0" w:color="auto"/>
            <w:left w:val="none" w:sz="0" w:space="0" w:color="auto"/>
            <w:bottom w:val="none" w:sz="0" w:space="0" w:color="auto"/>
            <w:right w:val="none" w:sz="0" w:space="0" w:color="auto"/>
          </w:divBdr>
        </w:div>
        <w:div w:id="673806157">
          <w:marLeft w:val="0"/>
          <w:marRight w:val="0"/>
          <w:marTop w:val="0"/>
          <w:marBottom w:val="0"/>
          <w:divBdr>
            <w:top w:val="none" w:sz="0" w:space="0" w:color="auto"/>
            <w:left w:val="none" w:sz="0" w:space="0" w:color="auto"/>
            <w:bottom w:val="none" w:sz="0" w:space="0" w:color="auto"/>
            <w:right w:val="none" w:sz="0" w:space="0" w:color="auto"/>
          </w:divBdr>
        </w:div>
        <w:div w:id="1935700491">
          <w:marLeft w:val="0"/>
          <w:marRight w:val="0"/>
          <w:marTop w:val="0"/>
          <w:marBottom w:val="0"/>
          <w:divBdr>
            <w:top w:val="none" w:sz="0" w:space="0" w:color="auto"/>
            <w:left w:val="none" w:sz="0" w:space="0" w:color="auto"/>
            <w:bottom w:val="none" w:sz="0" w:space="0" w:color="auto"/>
            <w:right w:val="none" w:sz="0" w:space="0" w:color="auto"/>
          </w:divBdr>
        </w:div>
        <w:div w:id="707998532">
          <w:marLeft w:val="0"/>
          <w:marRight w:val="0"/>
          <w:marTop w:val="0"/>
          <w:marBottom w:val="0"/>
          <w:divBdr>
            <w:top w:val="none" w:sz="0" w:space="0" w:color="auto"/>
            <w:left w:val="none" w:sz="0" w:space="0" w:color="auto"/>
            <w:bottom w:val="none" w:sz="0" w:space="0" w:color="auto"/>
            <w:right w:val="none" w:sz="0" w:space="0" w:color="auto"/>
          </w:divBdr>
        </w:div>
        <w:div w:id="295064503">
          <w:marLeft w:val="0"/>
          <w:marRight w:val="0"/>
          <w:marTop w:val="0"/>
          <w:marBottom w:val="0"/>
          <w:divBdr>
            <w:top w:val="none" w:sz="0" w:space="0" w:color="auto"/>
            <w:left w:val="none" w:sz="0" w:space="0" w:color="auto"/>
            <w:bottom w:val="none" w:sz="0" w:space="0" w:color="auto"/>
            <w:right w:val="none" w:sz="0" w:space="0" w:color="auto"/>
          </w:divBdr>
        </w:div>
        <w:div w:id="542714652">
          <w:marLeft w:val="0"/>
          <w:marRight w:val="0"/>
          <w:marTop w:val="0"/>
          <w:marBottom w:val="0"/>
          <w:divBdr>
            <w:top w:val="none" w:sz="0" w:space="0" w:color="auto"/>
            <w:left w:val="none" w:sz="0" w:space="0" w:color="auto"/>
            <w:bottom w:val="none" w:sz="0" w:space="0" w:color="auto"/>
            <w:right w:val="none" w:sz="0" w:space="0" w:color="auto"/>
          </w:divBdr>
        </w:div>
        <w:div w:id="1793593978">
          <w:marLeft w:val="0"/>
          <w:marRight w:val="0"/>
          <w:marTop w:val="0"/>
          <w:marBottom w:val="0"/>
          <w:divBdr>
            <w:top w:val="none" w:sz="0" w:space="0" w:color="auto"/>
            <w:left w:val="none" w:sz="0" w:space="0" w:color="auto"/>
            <w:bottom w:val="none" w:sz="0" w:space="0" w:color="auto"/>
            <w:right w:val="none" w:sz="0" w:space="0" w:color="auto"/>
          </w:divBdr>
        </w:div>
        <w:div w:id="1086264395">
          <w:marLeft w:val="0"/>
          <w:marRight w:val="0"/>
          <w:marTop w:val="0"/>
          <w:marBottom w:val="0"/>
          <w:divBdr>
            <w:top w:val="none" w:sz="0" w:space="0" w:color="auto"/>
            <w:left w:val="none" w:sz="0" w:space="0" w:color="auto"/>
            <w:bottom w:val="none" w:sz="0" w:space="0" w:color="auto"/>
            <w:right w:val="none" w:sz="0" w:space="0" w:color="auto"/>
          </w:divBdr>
        </w:div>
        <w:div w:id="1284455723">
          <w:marLeft w:val="0"/>
          <w:marRight w:val="0"/>
          <w:marTop w:val="0"/>
          <w:marBottom w:val="0"/>
          <w:divBdr>
            <w:top w:val="none" w:sz="0" w:space="0" w:color="auto"/>
            <w:left w:val="none" w:sz="0" w:space="0" w:color="auto"/>
            <w:bottom w:val="none" w:sz="0" w:space="0" w:color="auto"/>
            <w:right w:val="none" w:sz="0" w:space="0" w:color="auto"/>
          </w:divBdr>
        </w:div>
        <w:div w:id="574046622">
          <w:marLeft w:val="0"/>
          <w:marRight w:val="0"/>
          <w:marTop w:val="0"/>
          <w:marBottom w:val="0"/>
          <w:divBdr>
            <w:top w:val="none" w:sz="0" w:space="0" w:color="auto"/>
            <w:left w:val="none" w:sz="0" w:space="0" w:color="auto"/>
            <w:bottom w:val="none" w:sz="0" w:space="0" w:color="auto"/>
            <w:right w:val="none" w:sz="0" w:space="0" w:color="auto"/>
          </w:divBdr>
        </w:div>
        <w:div w:id="943850804">
          <w:marLeft w:val="0"/>
          <w:marRight w:val="0"/>
          <w:marTop w:val="0"/>
          <w:marBottom w:val="0"/>
          <w:divBdr>
            <w:top w:val="none" w:sz="0" w:space="0" w:color="auto"/>
            <w:left w:val="none" w:sz="0" w:space="0" w:color="auto"/>
            <w:bottom w:val="none" w:sz="0" w:space="0" w:color="auto"/>
            <w:right w:val="none" w:sz="0" w:space="0" w:color="auto"/>
          </w:divBdr>
        </w:div>
        <w:div w:id="938299223">
          <w:marLeft w:val="0"/>
          <w:marRight w:val="0"/>
          <w:marTop w:val="0"/>
          <w:marBottom w:val="0"/>
          <w:divBdr>
            <w:top w:val="none" w:sz="0" w:space="0" w:color="auto"/>
            <w:left w:val="none" w:sz="0" w:space="0" w:color="auto"/>
            <w:bottom w:val="none" w:sz="0" w:space="0" w:color="auto"/>
            <w:right w:val="none" w:sz="0" w:space="0" w:color="auto"/>
          </w:divBdr>
        </w:div>
        <w:div w:id="1978030285">
          <w:marLeft w:val="0"/>
          <w:marRight w:val="0"/>
          <w:marTop w:val="0"/>
          <w:marBottom w:val="0"/>
          <w:divBdr>
            <w:top w:val="none" w:sz="0" w:space="0" w:color="auto"/>
            <w:left w:val="none" w:sz="0" w:space="0" w:color="auto"/>
            <w:bottom w:val="none" w:sz="0" w:space="0" w:color="auto"/>
            <w:right w:val="none" w:sz="0" w:space="0" w:color="auto"/>
          </w:divBdr>
        </w:div>
        <w:div w:id="1703240115">
          <w:marLeft w:val="0"/>
          <w:marRight w:val="0"/>
          <w:marTop w:val="0"/>
          <w:marBottom w:val="0"/>
          <w:divBdr>
            <w:top w:val="none" w:sz="0" w:space="0" w:color="auto"/>
            <w:left w:val="none" w:sz="0" w:space="0" w:color="auto"/>
            <w:bottom w:val="none" w:sz="0" w:space="0" w:color="auto"/>
            <w:right w:val="none" w:sz="0" w:space="0" w:color="auto"/>
          </w:divBdr>
        </w:div>
        <w:div w:id="66270609">
          <w:marLeft w:val="0"/>
          <w:marRight w:val="0"/>
          <w:marTop w:val="0"/>
          <w:marBottom w:val="0"/>
          <w:divBdr>
            <w:top w:val="none" w:sz="0" w:space="0" w:color="auto"/>
            <w:left w:val="none" w:sz="0" w:space="0" w:color="auto"/>
            <w:bottom w:val="none" w:sz="0" w:space="0" w:color="auto"/>
            <w:right w:val="none" w:sz="0" w:space="0" w:color="auto"/>
          </w:divBdr>
        </w:div>
        <w:div w:id="2106226494">
          <w:marLeft w:val="0"/>
          <w:marRight w:val="0"/>
          <w:marTop w:val="0"/>
          <w:marBottom w:val="0"/>
          <w:divBdr>
            <w:top w:val="none" w:sz="0" w:space="0" w:color="auto"/>
            <w:left w:val="none" w:sz="0" w:space="0" w:color="auto"/>
            <w:bottom w:val="none" w:sz="0" w:space="0" w:color="auto"/>
            <w:right w:val="none" w:sz="0" w:space="0" w:color="auto"/>
          </w:divBdr>
        </w:div>
        <w:div w:id="1763530464">
          <w:marLeft w:val="0"/>
          <w:marRight w:val="0"/>
          <w:marTop w:val="0"/>
          <w:marBottom w:val="0"/>
          <w:divBdr>
            <w:top w:val="none" w:sz="0" w:space="0" w:color="auto"/>
            <w:left w:val="none" w:sz="0" w:space="0" w:color="auto"/>
            <w:bottom w:val="none" w:sz="0" w:space="0" w:color="auto"/>
            <w:right w:val="none" w:sz="0" w:space="0" w:color="auto"/>
          </w:divBdr>
        </w:div>
        <w:div w:id="929777881">
          <w:marLeft w:val="0"/>
          <w:marRight w:val="0"/>
          <w:marTop w:val="0"/>
          <w:marBottom w:val="0"/>
          <w:divBdr>
            <w:top w:val="none" w:sz="0" w:space="0" w:color="auto"/>
            <w:left w:val="none" w:sz="0" w:space="0" w:color="auto"/>
            <w:bottom w:val="none" w:sz="0" w:space="0" w:color="auto"/>
            <w:right w:val="none" w:sz="0" w:space="0" w:color="auto"/>
          </w:divBdr>
        </w:div>
        <w:div w:id="1490561431">
          <w:marLeft w:val="0"/>
          <w:marRight w:val="0"/>
          <w:marTop w:val="0"/>
          <w:marBottom w:val="0"/>
          <w:divBdr>
            <w:top w:val="none" w:sz="0" w:space="0" w:color="auto"/>
            <w:left w:val="none" w:sz="0" w:space="0" w:color="auto"/>
            <w:bottom w:val="none" w:sz="0" w:space="0" w:color="auto"/>
            <w:right w:val="none" w:sz="0" w:space="0" w:color="auto"/>
          </w:divBdr>
        </w:div>
        <w:div w:id="138152251">
          <w:marLeft w:val="0"/>
          <w:marRight w:val="0"/>
          <w:marTop w:val="0"/>
          <w:marBottom w:val="0"/>
          <w:divBdr>
            <w:top w:val="none" w:sz="0" w:space="0" w:color="auto"/>
            <w:left w:val="none" w:sz="0" w:space="0" w:color="auto"/>
            <w:bottom w:val="none" w:sz="0" w:space="0" w:color="auto"/>
            <w:right w:val="none" w:sz="0" w:space="0" w:color="auto"/>
          </w:divBdr>
        </w:div>
        <w:div w:id="588857288">
          <w:marLeft w:val="0"/>
          <w:marRight w:val="0"/>
          <w:marTop w:val="0"/>
          <w:marBottom w:val="0"/>
          <w:divBdr>
            <w:top w:val="none" w:sz="0" w:space="0" w:color="auto"/>
            <w:left w:val="none" w:sz="0" w:space="0" w:color="auto"/>
            <w:bottom w:val="none" w:sz="0" w:space="0" w:color="auto"/>
            <w:right w:val="none" w:sz="0" w:space="0" w:color="auto"/>
          </w:divBdr>
        </w:div>
        <w:div w:id="1449856518">
          <w:marLeft w:val="0"/>
          <w:marRight w:val="0"/>
          <w:marTop w:val="0"/>
          <w:marBottom w:val="0"/>
          <w:divBdr>
            <w:top w:val="none" w:sz="0" w:space="0" w:color="auto"/>
            <w:left w:val="none" w:sz="0" w:space="0" w:color="auto"/>
            <w:bottom w:val="none" w:sz="0" w:space="0" w:color="auto"/>
            <w:right w:val="none" w:sz="0" w:space="0" w:color="auto"/>
          </w:divBdr>
        </w:div>
      </w:divsChild>
    </w:div>
    <w:div w:id="411894771">
      <w:bodyDiv w:val="1"/>
      <w:marLeft w:val="0"/>
      <w:marRight w:val="0"/>
      <w:marTop w:val="0"/>
      <w:marBottom w:val="0"/>
      <w:divBdr>
        <w:top w:val="none" w:sz="0" w:space="0" w:color="auto"/>
        <w:left w:val="none" w:sz="0" w:space="0" w:color="auto"/>
        <w:bottom w:val="none" w:sz="0" w:space="0" w:color="auto"/>
        <w:right w:val="none" w:sz="0" w:space="0" w:color="auto"/>
      </w:divBdr>
    </w:div>
    <w:div w:id="1814525436">
      <w:bodyDiv w:val="1"/>
      <w:marLeft w:val="0"/>
      <w:marRight w:val="0"/>
      <w:marTop w:val="0"/>
      <w:marBottom w:val="0"/>
      <w:divBdr>
        <w:top w:val="none" w:sz="0" w:space="0" w:color="auto"/>
        <w:left w:val="none" w:sz="0" w:space="0" w:color="auto"/>
        <w:bottom w:val="none" w:sz="0" w:space="0" w:color="auto"/>
        <w:right w:val="none" w:sz="0" w:space="0" w:color="auto"/>
      </w:divBdr>
      <w:divsChild>
        <w:div w:id="1387870772">
          <w:marLeft w:val="0"/>
          <w:marRight w:val="0"/>
          <w:marTop w:val="0"/>
          <w:marBottom w:val="0"/>
          <w:divBdr>
            <w:top w:val="none" w:sz="0" w:space="0" w:color="auto"/>
            <w:left w:val="none" w:sz="0" w:space="0" w:color="auto"/>
            <w:bottom w:val="none" w:sz="0" w:space="0" w:color="auto"/>
            <w:right w:val="none" w:sz="0" w:space="0" w:color="auto"/>
          </w:divBdr>
        </w:div>
        <w:div w:id="61683978">
          <w:marLeft w:val="0"/>
          <w:marRight w:val="0"/>
          <w:marTop w:val="0"/>
          <w:marBottom w:val="0"/>
          <w:divBdr>
            <w:top w:val="none" w:sz="0" w:space="0" w:color="auto"/>
            <w:left w:val="none" w:sz="0" w:space="0" w:color="auto"/>
            <w:bottom w:val="none" w:sz="0" w:space="0" w:color="auto"/>
            <w:right w:val="none" w:sz="0" w:space="0" w:color="auto"/>
          </w:divBdr>
        </w:div>
        <w:div w:id="25060967">
          <w:marLeft w:val="0"/>
          <w:marRight w:val="0"/>
          <w:marTop w:val="0"/>
          <w:marBottom w:val="0"/>
          <w:divBdr>
            <w:top w:val="none" w:sz="0" w:space="0" w:color="auto"/>
            <w:left w:val="none" w:sz="0" w:space="0" w:color="auto"/>
            <w:bottom w:val="none" w:sz="0" w:space="0" w:color="auto"/>
            <w:right w:val="none" w:sz="0" w:space="0" w:color="auto"/>
          </w:divBdr>
        </w:div>
        <w:div w:id="1438911427">
          <w:marLeft w:val="0"/>
          <w:marRight w:val="0"/>
          <w:marTop w:val="0"/>
          <w:marBottom w:val="0"/>
          <w:divBdr>
            <w:top w:val="none" w:sz="0" w:space="0" w:color="auto"/>
            <w:left w:val="none" w:sz="0" w:space="0" w:color="auto"/>
            <w:bottom w:val="none" w:sz="0" w:space="0" w:color="auto"/>
            <w:right w:val="none" w:sz="0" w:space="0" w:color="auto"/>
          </w:divBdr>
        </w:div>
        <w:div w:id="1779324748">
          <w:marLeft w:val="0"/>
          <w:marRight w:val="0"/>
          <w:marTop w:val="0"/>
          <w:marBottom w:val="0"/>
          <w:divBdr>
            <w:top w:val="none" w:sz="0" w:space="0" w:color="auto"/>
            <w:left w:val="none" w:sz="0" w:space="0" w:color="auto"/>
            <w:bottom w:val="none" w:sz="0" w:space="0" w:color="auto"/>
            <w:right w:val="none" w:sz="0" w:space="0" w:color="auto"/>
          </w:divBdr>
        </w:div>
        <w:div w:id="1963874551">
          <w:marLeft w:val="0"/>
          <w:marRight w:val="0"/>
          <w:marTop w:val="0"/>
          <w:marBottom w:val="0"/>
          <w:divBdr>
            <w:top w:val="none" w:sz="0" w:space="0" w:color="auto"/>
            <w:left w:val="none" w:sz="0" w:space="0" w:color="auto"/>
            <w:bottom w:val="none" w:sz="0" w:space="0" w:color="auto"/>
            <w:right w:val="none" w:sz="0" w:space="0" w:color="auto"/>
          </w:divBdr>
        </w:div>
        <w:div w:id="14506211">
          <w:marLeft w:val="0"/>
          <w:marRight w:val="0"/>
          <w:marTop w:val="0"/>
          <w:marBottom w:val="0"/>
          <w:divBdr>
            <w:top w:val="none" w:sz="0" w:space="0" w:color="auto"/>
            <w:left w:val="none" w:sz="0" w:space="0" w:color="auto"/>
            <w:bottom w:val="none" w:sz="0" w:space="0" w:color="auto"/>
            <w:right w:val="none" w:sz="0" w:space="0" w:color="auto"/>
          </w:divBdr>
        </w:div>
        <w:div w:id="446049986">
          <w:marLeft w:val="0"/>
          <w:marRight w:val="0"/>
          <w:marTop w:val="0"/>
          <w:marBottom w:val="0"/>
          <w:divBdr>
            <w:top w:val="none" w:sz="0" w:space="0" w:color="auto"/>
            <w:left w:val="none" w:sz="0" w:space="0" w:color="auto"/>
            <w:bottom w:val="none" w:sz="0" w:space="0" w:color="auto"/>
            <w:right w:val="none" w:sz="0" w:space="0" w:color="auto"/>
          </w:divBdr>
        </w:div>
        <w:div w:id="1190214895">
          <w:marLeft w:val="0"/>
          <w:marRight w:val="0"/>
          <w:marTop w:val="0"/>
          <w:marBottom w:val="0"/>
          <w:divBdr>
            <w:top w:val="none" w:sz="0" w:space="0" w:color="auto"/>
            <w:left w:val="none" w:sz="0" w:space="0" w:color="auto"/>
            <w:bottom w:val="none" w:sz="0" w:space="0" w:color="auto"/>
            <w:right w:val="none" w:sz="0" w:space="0" w:color="auto"/>
          </w:divBdr>
        </w:div>
        <w:div w:id="845249057">
          <w:marLeft w:val="0"/>
          <w:marRight w:val="0"/>
          <w:marTop w:val="0"/>
          <w:marBottom w:val="0"/>
          <w:divBdr>
            <w:top w:val="none" w:sz="0" w:space="0" w:color="auto"/>
            <w:left w:val="none" w:sz="0" w:space="0" w:color="auto"/>
            <w:bottom w:val="none" w:sz="0" w:space="0" w:color="auto"/>
            <w:right w:val="none" w:sz="0" w:space="0" w:color="auto"/>
          </w:divBdr>
        </w:div>
        <w:div w:id="1864631292">
          <w:marLeft w:val="0"/>
          <w:marRight w:val="0"/>
          <w:marTop w:val="0"/>
          <w:marBottom w:val="0"/>
          <w:divBdr>
            <w:top w:val="none" w:sz="0" w:space="0" w:color="auto"/>
            <w:left w:val="none" w:sz="0" w:space="0" w:color="auto"/>
            <w:bottom w:val="none" w:sz="0" w:space="0" w:color="auto"/>
            <w:right w:val="none" w:sz="0" w:space="0" w:color="auto"/>
          </w:divBdr>
        </w:div>
        <w:div w:id="968241508">
          <w:marLeft w:val="0"/>
          <w:marRight w:val="0"/>
          <w:marTop w:val="0"/>
          <w:marBottom w:val="0"/>
          <w:divBdr>
            <w:top w:val="none" w:sz="0" w:space="0" w:color="auto"/>
            <w:left w:val="none" w:sz="0" w:space="0" w:color="auto"/>
            <w:bottom w:val="none" w:sz="0" w:space="0" w:color="auto"/>
            <w:right w:val="none" w:sz="0" w:space="0" w:color="auto"/>
          </w:divBdr>
        </w:div>
        <w:div w:id="635910638">
          <w:marLeft w:val="0"/>
          <w:marRight w:val="0"/>
          <w:marTop w:val="0"/>
          <w:marBottom w:val="0"/>
          <w:divBdr>
            <w:top w:val="none" w:sz="0" w:space="0" w:color="auto"/>
            <w:left w:val="none" w:sz="0" w:space="0" w:color="auto"/>
            <w:bottom w:val="none" w:sz="0" w:space="0" w:color="auto"/>
            <w:right w:val="none" w:sz="0" w:space="0" w:color="auto"/>
          </w:divBdr>
        </w:div>
        <w:div w:id="900869829">
          <w:marLeft w:val="0"/>
          <w:marRight w:val="0"/>
          <w:marTop w:val="0"/>
          <w:marBottom w:val="0"/>
          <w:divBdr>
            <w:top w:val="none" w:sz="0" w:space="0" w:color="auto"/>
            <w:left w:val="none" w:sz="0" w:space="0" w:color="auto"/>
            <w:bottom w:val="none" w:sz="0" w:space="0" w:color="auto"/>
            <w:right w:val="none" w:sz="0" w:space="0" w:color="auto"/>
          </w:divBdr>
        </w:div>
        <w:div w:id="2100563083">
          <w:marLeft w:val="0"/>
          <w:marRight w:val="0"/>
          <w:marTop w:val="0"/>
          <w:marBottom w:val="0"/>
          <w:divBdr>
            <w:top w:val="none" w:sz="0" w:space="0" w:color="auto"/>
            <w:left w:val="none" w:sz="0" w:space="0" w:color="auto"/>
            <w:bottom w:val="none" w:sz="0" w:space="0" w:color="auto"/>
            <w:right w:val="none" w:sz="0" w:space="0" w:color="auto"/>
          </w:divBdr>
        </w:div>
        <w:div w:id="995259967">
          <w:marLeft w:val="0"/>
          <w:marRight w:val="0"/>
          <w:marTop w:val="0"/>
          <w:marBottom w:val="0"/>
          <w:divBdr>
            <w:top w:val="none" w:sz="0" w:space="0" w:color="auto"/>
            <w:left w:val="none" w:sz="0" w:space="0" w:color="auto"/>
            <w:bottom w:val="none" w:sz="0" w:space="0" w:color="auto"/>
            <w:right w:val="none" w:sz="0" w:space="0" w:color="auto"/>
          </w:divBdr>
        </w:div>
        <w:div w:id="1191912349">
          <w:marLeft w:val="0"/>
          <w:marRight w:val="0"/>
          <w:marTop w:val="0"/>
          <w:marBottom w:val="0"/>
          <w:divBdr>
            <w:top w:val="none" w:sz="0" w:space="0" w:color="auto"/>
            <w:left w:val="none" w:sz="0" w:space="0" w:color="auto"/>
            <w:bottom w:val="none" w:sz="0" w:space="0" w:color="auto"/>
            <w:right w:val="none" w:sz="0" w:space="0" w:color="auto"/>
          </w:divBdr>
        </w:div>
        <w:div w:id="629826165">
          <w:marLeft w:val="0"/>
          <w:marRight w:val="0"/>
          <w:marTop w:val="0"/>
          <w:marBottom w:val="0"/>
          <w:divBdr>
            <w:top w:val="none" w:sz="0" w:space="0" w:color="auto"/>
            <w:left w:val="none" w:sz="0" w:space="0" w:color="auto"/>
            <w:bottom w:val="none" w:sz="0" w:space="0" w:color="auto"/>
            <w:right w:val="none" w:sz="0" w:space="0" w:color="auto"/>
          </w:divBdr>
        </w:div>
        <w:div w:id="683239617">
          <w:marLeft w:val="0"/>
          <w:marRight w:val="0"/>
          <w:marTop w:val="0"/>
          <w:marBottom w:val="0"/>
          <w:divBdr>
            <w:top w:val="none" w:sz="0" w:space="0" w:color="auto"/>
            <w:left w:val="none" w:sz="0" w:space="0" w:color="auto"/>
            <w:bottom w:val="none" w:sz="0" w:space="0" w:color="auto"/>
            <w:right w:val="none" w:sz="0" w:space="0" w:color="auto"/>
          </w:divBdr>
        </w:div>
        <w:div w:id="672298212">
          <w:marLeft w:val="0"/>
          <w:marRight w:val="0"/>
          <w:marTop w:val="0"/>
          <w:marBottom w:val="0"/>
          <w:divBdr>
            <w:top w:val="none" w:sz="0" w:space="0" w:color="auto"/>
            <w:left w:val="none" w:sz="0" w:space="0" w:color="auto"/>
            <w:bottom w:val="none" w:sz="0" w:space="0" w:color="auto"/>
            <w:right w:val="none" w:sz="0" w:space="0" w:color="auto"/>
          </w:divBdr>
        </w:div>
        <w:div w:id="133910723">
          <w:marLeft w:val="0"/>
          <w:marRight w:val="0"/>
          <w:marTop w:val="0"/>
          <w:marBottom w:val="0"/>
          <w:divBdr>
            <w:top w:val="none" w:sz="0" w:space="0" w:color="auto"/>
            <w:left w:val="none" w:sz="0" w:space="0" w:color="auto"/>
            <w:bottom w:val="none" w:sz="0" w:space="0" w:color="auto"/>
            <w:right w:val="none" w:sz="0" w:space="0" w:color="auto"/>
          </w:divBdr>
        </w:div>
        <w:div w:id="145363508">
          <w:marLeft w:val="0"/>
          <w:marRight w:val="0"/>
          <w:marTop w:val="0"/>
          <w:marBottom w:val="0"/>
          <w:divBdr>
            <w:top w:val="none" w:sz="0" w:space="0" w:color="auto"/>
            <w:left w:val="none" w:sz="0" w:space="0" w:color="auto"/>
            <w:bottom w:val="none" w:sz="0" w:space="0" w:color="auto"/>
            <w:right w:val="none" w:sz="0" w:space="0" w:color="auto"/>
          </w:divBdr>
        </w:div>
        <w:div w:id="156921053">
          <w:marLeft w:val="0"/>
          <w:marRight w:val="0"/>
          <w:marTop w:val="0"/>
          <w:marBottom w:val="0"/>
          <w:divBdr>
            <w:top w:val="none" w:sz="0" w:space="0" w:color="auto"/>
            <w:left w:val="none" w:sz="0" w:space="0" w:color="auto"/>
            <w:bottom w:val="none" w:sz="0" w:space="0" w:color="auto"/>
            <w:right w:val="none" w:sz="0" w:space="0" w:color="auto"/>
          </w:divBdr>
        </w:div>
        <w:div w:id="576941566">
          <w:marLeft w:val="0"/>
          <w:marRight w:val="0"/>
          <w:marTop w:val="0"/>
          <w:marBottom w:val="0"/>
          <w:divBdr>
            <w:top w:val="none" w:sz="0" w:space="0" w:color="auto"/>
            <w:left w:val="none" w:sz="0" w:space="0" w:color="auto"/>
            <w:bottom w:val="none" w:sz="0" w:space="0" w:color="auto"/>
            <w:right w:val="none" w:sz="0" w:space="0" w:color="auto"/>
          </w:divBdr>
        </w:div>
        <w:div w:id="2057311335">
          <w:marLeft w:val="0"/>
          <w:marRight w:val="0"/>
          <w:marTop w:val="0"/>
          <w:marBottom w:val="0"/>
          <w:divBdr>
            <w:top w:val="none" w:sz="0" w:space="0" w:color="auto"/>
            <w:left w:val="none" w:sz="0" w:space="0" w:color="auto"/>
            <w:bottom w:val="none" w:sz="0" w:space="0" w:color="auto"/>
            <w:right w:val="none" w:sz="0" w:space="0" w:color="auto"/>
          </w:divBdr>
        </w:div>
        <w:div w:id="638076845">
          <w:marLeft w:val="0"/>
          <w:marRight w:val="0"/>
          <w:marTop w:val="0"/>
          <w:marBottom w:val="0"/>
          <w:divBdr>
            <w:top w:val="none" w:sz="0" w:space="0" w:color="auto"/>
            <w:left w:val="none" w:sz="0" w:space="0" w:color="auto"/>
            <w:bottom w:val="none" w:sz="0" w:space="0" w:color="auto"/>
            <w:right w:val="none" w:sz="0" w:space="0" w:color="auto"/>
          </w:divBdr>
        </w:div>
        <w:div w:id="1688174000">
          <w:marLeft w:val="0"/>
          <w:marRight w:val="0"/>
          <w:marTop w:val="0"/>
          <w:marBottom w:val="0"/>
          <w:divBdr>
            <w:top w:val="none" w:sz="0" w:space="0" w:color="auto"/>
            <w:left w:val="none" w:sz="0" w:space="0" w:color="auto"/>
            <w:bottom w:val="none" w:sz="0" w:space="0" w:color="auto"/>
            <w:right w:val="none" w:sz="0" w:space="0" w:color="auto"/>
          </w:divBdr>
        </w:div>
        <w:div w:id="702174820">
          <w:marLeft w:val="0"/>
          <w:marRight w:val="0"/>
          <w:marTop w:val="0"/>
          <w:marBottom w:val="0"/>
          <w:divBdr>
            <w:top w:val="none" w:sz="0" w:space="0" w:color="auto"/>
            <w:left w:val="none" w:sz="0" w:space="0" w:color="auto"/>
            <w:bottom w:val="none" w:sz="0" w:space="0" w:color="auto"/>
            <w:right w:val="none" w:sz="0" w:space="0" w:color="auto"/>
          </w:divBdr>
        </w:div>
      </w:divsChild>
    </w:div>
    <w:div w:id="1993287237">
      <w:bodyDiv w:val="1"/>
      <w:marLeft w:val="0"/>
      <w:marRight w:val="0"/>
      <w:marTop w:val="0"/>
      <w:marBottom w:val="0"/>
      <w:divBdr>
        <w:top w:val="none" w:sz="0" w:space="0" w:color="auto"/>
        <w:left w:val="none" w:sz="0" w:space="0" w:color="auto"/>
        <w:bottom w:val="none" w:sz="0" w:space="0" w:color="auto"/>
        <w:right w:val="none" w:sz="0" w:space="0" w:color="auto"/>
      </w:divBdr>
      <w:divsChild>
        <w:div w:id="161894421">
          <w:marLeft w:val="0"/>
          <w:marRight w:val="0"/>
          <w:marTop w:val="0"/>
          <w:marBottom w:val="0"/>
          <w:divBdr>
            <w:top w:val="none" w:sz="0" w:space="0" w:color="auto"/>
            <w:left w:val="none" w:sz="0" w:space="0" w:color="auto"/>
            <w:bottom w:val="none" w:sz="0" w:space="0" w:color="auto"/>
            <w:right w:val="none" w:sz="0" w:space="0" w:color="auto"/>
          </w:divBdr>
        </w:div>
        <w:div w:id="408501671">
          <w:marLeft w:val="0"/>
          <w:marRight w:val="0"/>
          <w:marTop w:val="0"/>
          <w:marBottom w:val="0"/>
          <w:divBdr>
            <w:top w:val="none" w:sz="0" w:space="0" w:color="auto"/>
            <w:left w:val="none" w:sz="0" w:space="0" w:color="auto"/>
            <w:bottom w:val="none" w:sz="0" w:space="0" w:color="auto"/>
            <w:right w:val="none" w:sz="0" w:space="0" w:color="auto"/>
          </w:divBdr>
        </w:div>
        <w:div w:id="975452099">
          <w:marLeft w:val="0"/>
          <w:marRight w:val="0"/>
          <w:marTop w:val="0"/>
          <w:marBottom w:val="0"/>
          <w:divBdr>
            <w:top w:val="none" w:sz="0" w:space="0" w:color="auto"/>
            <w:left w:val="none" w:sz="0" w:space="0" w:color="auto"/>
            <w:bottom w:val="none" w:sz="0" w:space="0" w:color="auto"/>
            <w:right w:val="none" w:sz="0" w:space="0" w:color="auto"/>
          </w:divBdr>
        </w:div>
        <w:div w:id="1649162806">
          <w:marLeft w:val="0"/>
          <w:marRight w:val="0"/>
          <w:marTop w:val="0"/>
          <w:marBottom w:val="0"/>
          <w:divBdr>
            <w:top w:val="none" w:sz="0" w:space="0" w:color="auto"/>
            <w:left w:val="none" w:sz="0" w:space="0" w:color="auto"/>
            <w:bottom w:val="none" w:sz="0" w:space="0" w:color="auto"/>
            <w:right w:val="none" w:sz="0" w:space="0" w:color="auto"/>
          </w:divBdr>
        </w:div>
        <w:div w:id="1959288965">
          <w:marLeft w:val="0"/>
          <w:marRight w:val="0"/>
          <w:marTop w:val="0"/>
          <w:marBottom w:val="0"/>
          <w:divBdr>
            <w:top w:val="none" w:sz="0" w:space="0" w:color="auto"/>
            <w:left w:val="none" w:sz="0" w:space="0" w:color="auto"/>
            <w:bottom w:val="none" w:sz="0" w:space="0" w:color="auto"/>
            <w:right w:val="none" w:sz="0" w:space="0" w:color="auto"/>
          </w:divBdr>
        </w:div>
        <w:div w:id="114256843">
          <w:marLeft w:val="0"/>
          <w:marRight w:val="0"/>
          <w:marTop w:val="0"/>
          <w:marBottom w:val="0"/>
          <w:divBdr>
            <w:top w:val="none" w:sz="0" w:space="0" w:color="auto"/>
            <w:left w:val="none" w:sz="0" w:space="0" w:color="auto"/>
            <w:bottom w:val="none" w:sz="0" w:space="0" w:color="auto"/>
            <w:right w:val="none" w:sz="0" w:space="0" w:color="auto"/>
          </w:divBdr>
        </w:div>
        <w:div w:id="1762145026">
          <w:marLeft w:val="0"/>
          <w:marRight w:val="0"/>
          <w:marTop w:val="0"/>
          <w:marBottom w:val="0"/>
          <w:divBdr>
            <w:top w:val="none" w:sz="0" w:space="0" w:color="auto"/>
            <w:left w:val="none" w:sz="0" w:space="0" w:color="auto"/>
            <w:bottom w:val="none" w:sz="0" w:space="0" w:color="auto"/>
            <w:right w:val="none" w:sz="0" w:space="0" w:color="auto"/>
          </w:divBdr>
        </w:div>
        <w:div w:id="202644381">
          <w:marLeft w:val="0"/>
          <w:marRight w:val="0"/>
          <w:marTop w:val="0"/>
          <w:marBottom w:val="0"/>
          <w:divBdr>
            <w:top w:val="none" w:sz="0" w:space="0" w:color="auto"/>
            <w:left w:val="none" w:sz="0" w:space="0" w:color="auto"/>
            <w:bottom w:val="none" w:sz="0" w:space="0" w:color="auto"/>
            <w:right w:val="none" w:sz="0" w:space="0" w:color="auto"/>
          </w:divBdr>
        </w:div>
        <w:div w:id="1880318991">
          <w:marLeft w:val="0"/>
          <w:marRight w:val="0"/>
          <w:marTop w:val="0"/>
          <w:marBottom w:val="0"/>
          <w:divBdr>
            <w:top w:val="none" w:sz="0" w:space="0" w:color="auto"/>
            <w:left w:val="none" w:sz="0" w:space="0" w:color="auto"/>
            <w:bottom w:val="none" w:sz="0" w:space="0" w:color="auto"/>
            <w:right w:val="none" w:sz="0" w:space="0" w:color="auto"/>
          </w:divBdr>
        </w:div>
        <w:div w:id="1726680192">
          <w:marLeft w:val="0"/>
          <w:marRight w:val="0"/>
          <w:marTop w:val="0"/>
          <w:marBottom w:val="0"/>
          <w:divBdr>
            <w:top w:val="none" w:sz="0" w:space="0" w:color="auto"/>
            <w:left w:val="none" w:sz="0" w:space="0" w:color="auto"/>
            <w:bottom w:val="none" w:sz="0" w:space="0" w:color="auto"/>
            <w:right w:val="none" w:sz="0" w:space="0" w:color="auto"/>
          </w:divBdr>
        </w:div>
        <w:div w:id="1899627453">
          <w:marLeft w:val="0"/>
          <w:marRight w:val="0"/>
          <w:marTop w:val="0"/>
          <w:marBottom w:val="0"/>
          <w:divBdr>
            <w:top w:val="none" w:sz="0" w:space="0" w:color="auto"/>
            <w:left w:val="none" w:sz="0" w:space="0" w:color="auto"/>
            <w:bottom w:val="none" w:sz="0" w:space="0" w:color="auto"/>
            <w:right w:val="none" w:sz="0" w:space="0" w:color="auto"/>
          </w:divBdr>
        </w:div>
        <w:div w:id="1118570800">
          <w:marLeft w:val="0"/>
          <w:marRight w:val="0"/>
          <w:marTop w:val="0"/>
          <w:marBottom w:val="0"/>
          <w:divBdr>
            <w:top w:val="none" w:sz="0" w:space="0" w:color="auto"/>
            <w:left w:val="none" w:sz="0" w:space="0" w:color="auto"/>
            <w:bottom w:val="none" w:sz="0" w:space="0" w:color="auto"/>
            <w:right w:val="none" w:sz="0" w:space="0" w:color="auto"/>
          </w:divBdr>
        </w:div>
        <w:div w:id="797643599">
          <w:marLeft w:val="0"/>
          <w:marRight w:val="0"/>
          <w:marTop w:val="0"/>
          <w:marBottom w:val="0"/>
          <w:divBdr>
            <w:top w:val="none" w:sz="0" w:space="0" w:color="auto"/>
            <w:left w:val="none" w:sz="0" w:space="0" w:color="auto"/>
            <w:bottom w:val="none" w:sz="0" w:space="0" w:color="auto"/>
            <w:right w:val="none" w:sz="0" w:space="0" w:color="auto"/>
          </w:divBdr>
        </w:div>
        <w:div w:id="588001343">
          <w:marLeft w:val="0"/>
          <w:marRight w:val="0"/>
          <w:marTop w:val="0"/>
          <w:marBottom w:val="0"/>
          <w:divBdr>
            <w:top w:val="none" w:sz="0" w:space="0" w:color="auto"/>
            <w:left w:val="none" w:sz="0" w:space="0" w:color="auto"/>
            <w:bottom w:val="none" w:sz="0" w:space="0" w:color="auto"/>
            <w:right w:val="none" w:sz="0" w:space="0" w:color="auto"/>
          </w:divBdr>
        </w:div>
        <w:div w:id="1318609873">
          <w:marLeft w:val="0"/>
          <w:marRight w:val="0"/>
          <w:marTop w:val="0"/>
          <w:marBottom w:val="0"/>
          <w:divBdr>
            <w:top w:val="none" w:sz="0" w:space="0" w:color="auto"/>
            <w:left w:val="none" w:sz="0" w:space="0" w:color="auto"/>
            <w:bottom w:val="none" w:sz="0" w:space="0" w:color="auto"/>
            <w:right w:val="none" w:sz="0" w:space="0" w:color="auto"/>
          </w:divBdr>
        </w:div>
        <w:div w:id="1872767262">
          <w:marLeft w:val="0"/>
          <w:marRight w:val="0"/>
          <w:marTop w:val="0"/>
          <w:marBottom w:val="0"/>
          <w:divBdr>
            <w:top w:val="none" w:sz="0" w:space="0" w:color="auto"/>
            <w:left w:val="none" w:sz="0" w:space="0" w:color="auto"/>
            <w:bottom w:val="none" w:sz="0" w:space="0" w:color="auto"/>
            <w:right w:val="none" w:sz="0" w:space="0" w:color="auto"/>
          </w:divBdr>
        </w:div>
        <w:div w:id="185945617">
          <w:marLeft w:val="0"/>
          <w:marRight w:val="0"/>
          <w:marTop w:val="0"/>
          <w:marBottom w:val="0"/>
          <w:divBdr>
            <w:top w:val="none" w:sz="0" w:space="0" w:color="auto"/>
            <w:left w:val="none" w:sz="0" w:space="0" w:color="auto"/>
            <w:bottom w:val="none" w:sz="0" w:space="0" w:color="auto"/>
            <w:right w:val="none" w:sz="0" w:space="0" w:color="auto"/>
          </w:divBdr>
        </w:div>
        <w:div w:id="17120100">
          <w:marLeft w:val="0"/>
          <w:marRight w:val="0"/>
          <w:marTop w:val="0"/>
          <w:marBottom w:val="0"/>
          <w:divBdr>
            <w:top w:val="none" w:sz="0" w:space="0" w:color="auto"/>
            <w:left w:val="none" w:sz="0" w:space="0" w:color="auto"/>
            <w:bottom w:val="none" w:sz="0" w:space="0" w:color="auto"/>
            <w:right w:val="none" w:sz="0" w:space="0" w:color="auto"/>
          </w:divBdr>
        </w:div>
        <w:div w:id="984891461">
          <w:marLeft w:val="0"/>
          <w:marRight w:val="0"/>
          <w:marTop w:val="0"/>
          <w:marBottom w:val="0"/>
          <w:divBdr>
            <w:top w:val="none" w:sz="0" w:space="0" w:color="auto"/>
            <w:left w:val="none" w:sz="0" w:space="0" w:color="auto"/>
            <w:bottom w:val="none" w:sz="0" w:space="0" w:color="auto"/>
            <w:right w:val="none" w:sz="0" w:space="0" w:color="auto"/>
          </w:divBdr>
        </w:div>
        <w:div w:id="954674050">
          <w:marLeft w:val="0"/>
          <w:marRight w:val="0"/>
          <w:marTop w:val="0"/>
          <w:marBottom w:val="0"/>
          <w:divBdr>
            <w:top w:val="none" w:sz="0" w:space="0" w:color="auto"/>
            <w:left w:val="none" w:sz="0" w:space="0" w:color="auto"/>
            <w:bottom w:val="none" w:sz="0" w:space="0" w:color="auto"/>
            <w:right w:val="none" w:sz="0" w:space="0" w:color="auto"/>
          </w:divBdr>
        </w:div>
        <w:div w:id="1711684935">
          <w:marLeft w:val="0"/>
          <w:marRight w:val="0"/>
          <w:marTop w:val="0"/>
          <w:marBottom w:val="0"/>
          <w:divBdr>
            <w:top w:val="none" w:sz="0" w:space="0" w:color="auto"/>
            <w:left w:val="none" w:sz="0" w:space="0" w:color="auto"/>
            <w:bottom w:val="none" w:sz="0" w:space="0" w:color="auto"/>
            <w:right w:val="none" w:sz="0" w:space="0" w:color="auto"/>
          </w:divBdr>
        </w:div>
        <w:div w:id="570165016">
          <w:marLeft w:val="0"/>
          <w:marRight w:val="0"/>
          <w:marTop w:val="0"/>
          <w:marBottom w:val="0"/>
          <w:divBdr>
            <w:top w:val="none" w:sz="0" w:space="0" w:color="auto"/>
            <w:left w:val="none" w:sz="0" w:space="0" w:color="auto"/>
            <w:bottom w:val="none" w:sz="0" w:space="0" w:color="auto"/>
            <w:right w:val="none" w:sz="0" w:space="0" w:color="auto"/>
          </w:divBdr>
        </w:div>
        <w:div w:id="91821418">
          <w:marLeft w:val="0"/>
          <w:marRight w:val="0"/>
          <w:marTop w:val="0"/>
          <w:marBottom w:val="0"/>
          <w:divBdr>
            <w:top w:val="none" w:sz="0" w:space="0" w:color="auto"/>
            <w:left w:val="none" w:sz="0" w:space="0" w:color="auto"/>
            <w:bottom w:val="none" w:sz="0" w:space="0" w:color="auto"/>
            <w:right w:val="none" w:sz="0" w:space="0" w:color="auto"/>
          </w:divBdr>
        </w:div>
        <w:div w:id="347291678">
          <w:marLeft w:val="0"/>
          <w:marRight w:val="0"/>
          <w:marTop w:val="0"/>
          <w:marBottom w:val="0"/>
          <w:divBdr>
            <w:top w:val="none" w:sz="0" w:space="0" w:color="auto"/>
            <w:left w:val="none" w:sz="0" w:space="0" w:color="auto"/>
            <w:bottom w:val="none" w:sz="0" w:space="0" w:color="auto"/>
            <w:right w:val="none" w:sz="0" w:space="0" w:color="auto"/>
          </w:divBdr>
        </w:div>
        <w:div w:id="1603025841">
          <w:marLeft w:val="0"/>
          <w:marRight w:val="0"/>
          <w:marTop w:val="0"/>
          <w:marBottom w:val="0"/>
          <w:divBdr>
            <w:top w:val="none" w:sz="0" w:space="0" w:color="auto"/>
            <w:left w:val="none" w:sz="0" w:space="0" w:color="auto"/>
            <w:bottom w:val="none" w:sz="0" w:space="0" w:color="auto"/>
            <w:right w:val="none" w:sz="0" w:space="0" w:color="auto"/>
          </w:divBdr>
        </w:div>
        <w:div w:id="56317493">
          <w:marLeft w:val="0"/>
          <w:marRight w:val="0"/>
          <w:marTop w:val="0"/>
          <w:marBottom w:val="0"/>
          <w:divBdr>
            <w:top w:val="none" w:sz="0" w:space="0" w:color="auto"/>
            <w:left w:val="none" w:sz="0" w:space="0" w:color="auto"/>
            <w:bottom w:val="none" w:sz="0" w:space="0" w:color="auto"/>
            <w:right w:val="none" w:sz="0" w:space="0" w:color="auto"/>
          </w:divBdr>
        </w:div>
        <w:div w:id="1496146164">
          <w:marLeft w:val="0"/>
          <w:marRight w:val="0"/>
          <w:marTop w:val="0"/>
          <w:marBottom w:val="0"/>
          <w:divBdr>
            <w:top w:val="none" w:sz="0" w:space="0" w:color="auto"/>
            <w:left w:val="none" w:sz="0" w:space="0" w:color="auto"/>
            <w:bottom w:val="none" w:sz="0" w:space="0" w:color="auto"/>
            <w:right w:val="none" w:sz="0" w:space="0" w:color="auto"/>
          </w:divBdr>
        </w:div>
        <w:div w:id="1848209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lektroninisparasas.lt/en/regulation/standards/" TargetMode="External"/><Relationship Id="rId24"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s://www.e-tar.lt/portal/lt/legalAct/09ae7bd0761911e8ae2bfd1913d66d57"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aa79c7-5a1e-43b6-9bfb-4d4d51174e05">
      <Terms xmlns="http://schemas.microsoft.com/office/infopath/2007/PartnerControls"/>
    </lcf76f155ced4ddcb4097134ff3c332f>
    <TaxCatchAll xmlns="fad4b80f-dda2-41c8-8021-df392173a7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D2D63E4B1077A418B37B89A3C855ABF" ma:contentTypeVersion="11" ma:contentTypeDescription="Kurkite naują dokumentą." ma:contentTypeScope="" ma:versionID="46a3f91f7b919fadd9ea4ff7715ab51e">
  <xsd:schema xmlns:xsd="http://www.w3.org/2001/XMLSchema" xmlns:xs="http://www.w3.org/2001/XMLSchema" xmlns:p="http://schemas.microsoft.com/office/2006/metadata/properties" xmlns:ns2="cdaa79c7-5a1e-43b6-9bfb-4d4d51174e05" xmlns:ns3="fad4b80f-dda2-41c8-8021-df392173a70e" targetNamespace="http://schemas.microsoft.com/office/2006/metadata/properties" ma:root="true" ma:fieldsID="26272f7ba964622af164721668c77a1b" ns2:_="" ns3:_="">
    <xsd:import namespace="cdaa79c7-5a1e-43b6-9bfb-4d4d51174e05"/>
    <xsd:import namespace="fad4b80f-dda2-41c8-8021-df392173a7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a79c7-5a1e-43b6-9bfb-4d4d51174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4b80f-dda2-41c8-8021-df392173a7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d495b5-3c89-404d-82de-8828ba1f2e5e}" ma:internalName="TaxCatchAll" ma:showField="CatchAllData" ma:web="fad4b80f-dda2-41c8-8021-df392173a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456A4-0CA1-4C65-BDC1-3374CF78ED65}">
  <ds:schemaRefs>
    <ds:schemaRef ds:uri="http://schemas.microsoft.com/office/2006/metadata/properties"/>
    <ds:schemaRef ds:uri="http://schemas.microsoft.com/office/infopath/2007/PartnerControls"/>
    <ds:schemaRef ds:uri="cdaa79c7-5a1e-43b6-9bfb-4d4d51174e05"/>
    <ds:schemaRef ds:uri="fad4b80f-dda2-41c8-8021-df392173a70e"/>
  </ds:schemaRefs>
</ds:datastoreItem>
</file>

<file path=customXml/itemProps2.xml><?xml version="1.0" encoding="utf-8"?>
<ds:datastoreItem xmlns:ds="http://schemas.openxmlformats.org/officeDocument/2006/customXml" ds:itemID="{F425FD11-4E48-48FD-9CE4-4397074A0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a79c7-5a1e-43b6-9bfb-4d4d51174e05"/>
    <ds:schemaRef ds:uri="fad4b80f-dda2-41c8-8021-df392173a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119FA2-F818-41EF-B58A-FF481012918C}">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3717</Words>
  <Characters>21188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Šimukėnaitė</dc:creator>
  <cp:keywords/>
  <dc:description/>
  <cp:lastModifiedBy>Daiva Rastenienė</cp:lastModifiedBy>
  <cp:revision>3</cp:revision>
  <dcterms:created xsi:type="dcterms:W3CDTF">2025-05-20T10:55:00Z</dcterms:created>
  <dcterms:modified xsi:type="dcterms:W3CDTF">2025-05-20T14:55:00Z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0x0101005D2D63E4B1077A418B37B89A3C855ABF</vt:lpwstr>
  </property>
  <property fmtid="{D5CDD505-2E9C-101B-9397-08002B2CF9AE}" pid="3" name="MediaServiceImageTags">
    <vt:lpwstr/>
  </property>
</Properties>
</file>